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2457" w:rsidRPr="00A46678" w:rsidRDefault="00C61410">
      <w:pPr>
        <w:rPr>
          <w:sz w:val="20"/>
          <w:szCs w:val="20"/>
        </w:rPr>
      </w:pPr>
      <w:r>
        <w:t xml:space="preserve">    </w:t>
      </w:r>
      <w:r w:rsidRPr="00A46678">
        <w:rPr>
          <w:sz w:val="20"/>
          <w:szCs w:val="20"/>
        </w:rPr>
        <w:t xml:space="preserve">                     </w:t>
      </w:r>
      <w:r w:rsidR="004D5875" w:rsidRPr="00A46678">
        <w:rPr>
          <w:sz w:val="20"/>
          <w:szCs w:val="20"/>
        </w:rPr>
        <w:t xml:space="preserve">                             </w:t>
      </w:r>
      <w:r w:rsidRPr="00A46678">
        <w:rPr>
          <w:sz w:val="20"/>
          <w:szCs w:val="20"/>
        </w:rPr>
        <w:t xml:space="preserve">    </w:t>
      </w:r>
      <w:r w:rsidR="004D5875" w:rsidRPr="00A46678">
        <w:rPr>
          <w:sz w:val="20"/>
          <w:szCs w:val="20"/>
        </w:rPr>
        <w:t xml:space="preserve">             </w:t>
      </w:r>
      <w:r w:rsidR="006D05B8" w:rsidRPr="00A46678">
        <w:rPr>
          <w:sz w:val="20"/>
          <w:szCs w:val="20"/>
        </w:rPr>
        <w:t xml:space="preserve">    </w:t>
      </w:r>
      <w:r w:rsidR="004D5875" w:rsidRPr="00A46678">
        <w:rPr>
          <w:sz w:val="20"/>
          <w:szCs w:val="20"/>
        </w:rPr>
        <w:t xml:space="preserve">    </w:t>
      </w:r>
      <w:r w:rsidR="003A114B" w:rsidRPr="00A46678">
        <w:rPr>
          <w:noProof/>
          <w:sz w:val="20"/>
          <w:szCs w:val="20"/>
        </w:rPr>
        <w:drawing>
          <wp:inline distT="0" distB="0" distL="0" distR="0" wp14:anchorId="551FFC45" wp14:editId="471DC4D9">
            <wp:extent cx="1854741" cy="719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vus_logo_email.png"/>
                    <pic:cNvPicPr/>
                  </pic:nvPicPr>
                  <pic:blipFill>
                    <a:blip r:embed="rId7">
                      <a:extLst>
                        <a:ext uri="{28A0092B-C50C-407E-A947-70E740481C1C}">
                          <a14:useLocalDpi xmlns:a14="http://schemas.microsoft.com/office/drawing/2010/main" val="0"/>
                        </a:ext>
                      </a:extLst>
                    </a:blip>
                    <a:stretch>
                      <a:fillRect/>
                    </a:stretch>
                  </pic:blipFill>
                  <pic:spPr>
                    <a:xfrm>
                      <a:off x="0" y="0"/>
                      <a:ext cx="1858335" cy="720411"/>
                    </a:xfrm>
                    <a:prstGeom prst="rect">
                      <a:avLst/>
                    </a:prstGeom>
                  </pic:spPr>
                </pic:pic>
              </a:graphicData>
            </a:graphic>
          </wp:inline>
        </w:drawing>
      </w:r>
    </w:p>
    <w:p w:rsidR="00C61410" w:rsidRPr="00A46678" w:rsidRDefault="00C61410" w:rsidP="00C61410">
      <w:pPr>
        <w:jc w:val="center"/>
        <w:rPr>
          <w:sz w:val="20"/>
          <w:szCs w:val="20"/>
        </w:rPr>
      </w:pPr>
      <w:r w:rsidRPr="00A46678">
        <w:rPr>
          <w:sz w:val="20"/>
          <w:szCs w:val="20"/>
        </w:rPr>
        <w:t>FEE SCHEDULE/WORKSHEET</w:t>
      </w:r>
    </w:p>
    <w:p w:rsidR="00D52457" w:rsidRPr="00A46678" w:rsidRDefault="00C61410" w:rsidP="00C61410">
      <w:pPr>
        <w:spacing w:after="0" w:line="240" w:lineRule="auto"/>
        <w:rPr>
          <w:b/>
          <w:sz w:val="20"/>
          <w:szCs w:val="20"/>
        </w:rPr>
      </w:pPr>
      <w:r w:rsidRPr="00A46678">
        <w:rPr>
          <w:b/>
          <w:sz w:val="20"/>
          <w:szCs w:val="20"/>
        </w:rPr>
        <w:t xml:space="preserve">At </w:t>
      </w:r>
      <w:r w:rsidR="009F0709" w:rsidRPr="00A46678">
        <w:rPr>
          <w:b/>
          <w:sz w:val="20"/>
          <w:szCs w:val="20"/>
        </w:rPr>
        <w:t>Corvus Capital</w:t>
      </w:r>
      <w:r w:rsidR="00D52457" w:rsidRPr="00A46678">
        <w:rPr>
          <w:b/>
          <w:sz w:val="20"/>
          <w:szCs w:val="20"/>
        </w:rPr>
        <w:t>, LLC</w:t>
      </w:r>
      <w:r w:rsidRPr="00A46678">
        <w:rPr>
          <w:b/>
          <w:sz w:val="20"/>
          <w:szCs w:val="20"/>
        </w:rPr>
        <w:t xml:space="preserve">, we believe in open communication with our clients.  One important topic that should be addressed </w:t>
      </w:r>
      <w:r w:rsidR="00D52457" w:rsidRPr="00A46678">
        <w:rPr>
          <w:b/>
          <w:sz w:val="20"/>
          <w:szCs w:val="20"/>
        </w:rPr>
        <w:t>is the representative’s fee</w:t>
      </w:r>
      <w:r w:rsidRPr="00A46678">
        <w:rPr>
          <w:b/>
          <w:sz w:val="20"/>
          <w:szCs w:val="20"/>
        </w:rPr>
        <w:t xml:space="preserve"> for service. T</w:t>
      </w:r>
      <w:r w:rsidR="00D52457" w:rsidRPr="00A46678">
        <w:rPr>
          <w:b/>
          <w:sz w:val="20"/>
          <w:szCs w:val="20"/>
        </w:rPr>
        <w:t>his worksheet does not reflect internal expenses of any m</w:t>
      </w:r>
      <w:r w:rsidRPr="00A46678">
        <w:rPr>
          <w:b/>
          <w:sz w:val="20"/>
          <w:szCs w:val="20"/>
        </w:rPr>
        <w:t>utual fund or similar product, but allows</w:t>
      </w:r>
      <w:r w:rsidR="00D52457" w:rsidRPr="00A46678">
        <w:rPr>
          <w:b/>
          <w:sz w:val="20"/>
          <w:szCs w:val="20"/>
        </w:rPr>
        <w:t xml:space="preserve"> us to disclose </w:t>
      </w:r>
      <w:r w:rsidR="00745905" w:rsidRPr="00A46678">
        <w:rPr>
          <w:b/>
          <w:sz w:val="20"/>
          <w:szCs w:val="20"/>
        </w:rPr>
        <w:t>our</w:t>
      </w:r>
      <w:r w:rsidR="00D52457" w:rsidRPr="00A46678">
        <w:rPr>
          <w:b/>
          <w:i/>
          <w:sz w:val="20"/>
          <w:szCs w:val="20"/>
        </w:rPr>
        <w:t xml:space="preserve"> </w:t>
      </w:r>
      <w:r w:rsidRPr="00A46678">
        <w:rPr>
          <w:b/>
          <w:sz w:val="20"/>
          <w:szCs w:val="20"/>
        </w:rPr>
        <w:t xml:space="preserve">fees and provide </w:t>
      </w:r>
      <w:r w:rsidR="00D52457" w:rsidRPr="00A46678">
        <w:rPr>
          <w:b/>
          <w:sz w:val="20"/>
          <w:szCs w:val="20"/>
        </w:rPr>
        <w:t xml:space="preserve">you the opportunity to </w:t>
      </w:r>
      <w:r w:rsidRPr="00A46678">
        <w:rPr>
          <w:b/>
          <w:sz w:val="20"/>
          <w:szCs w:val="20"/>
        </w:rPr>
        <w:t>ask questions and gain clarification if needed.</w:t>
      </w:r>
    </w:p>
    <w:p w:rsidR="00D52457" w:rsidRDefault="00D52457" w:rsidP="00D52457">
      <w:pPr>
        <w:spacing w:after="0" w:line="240" w:lineRule="auto"/>
        <w:rPr>
          <w:b/>
          <w:sz w:val="20"/>
          <w:szCs w:val="20"/>
        </w:rPr>
      </w:pPr>
      <w:r w:rsidRPr="00A46678">
        <w:rPr>
          <w:b/>
          <w:sz w:val="20"/>
          <w:szCs w:val="20"/>
        </w:rPr>
        <w:t>There are FOUR basic means of compen</w:t>
      </w:r>
      <w:r w:rsidR="00745905" w:rsidRPr="00A46678">
        <w:rPr>
          <w:b/>
          <w:sz w:val="20"/>
          <w:szCs w:val="20"/>
        </w:rPr>
        <w:t>sation for your representative:</w:t>
      </w:r>
      <w:r w:rsidRPr="00A46678">
        <w:rPr>
          <w:b/>
          <w:sz w:val="20"/>
          <w:szCs w:val="20"/>
        </w:rPr>
        <w:t xml:space="preserve"> </w:t>
      </w:r>
    </w:p>
    <w:p w:rsidR="00A46678" w:rsidRPr="00A46678" w:rsidRDefault="00A46678" w:rsidP="00D52457">
      <w:pPr>
        <w:spacing w:after="0" w:line="240" w:lineRule="auto"/>
        <w:rPr>
          <w:b/>
          <w:sz w:val="20"/>
          <w:szCs w:val="20"/>
        </w:rPr>
      </w:pPr>
    </w:p>
    <w:p w:rsidR="000538D7" w:rsidRPr="00A46678" w:rsidRDefault="00D52457" w:rsidP="00D52457">
      <w:pPr>
        <w:pStyle w:val="ListParagraph"/>
        <w:numPr>
          <w:ilvl w:val="0"/>
          <w:numId w:val="1"/>
        </w:numPr>
        <w:spacing w:after="0" w:line="240" w:lineRule="auto"/>
        <w:rPr>
          <w:b/>
          <w:sz w:val="20"/>
          <w:szCs w:val="20"/>
        </w:rPr>
      </w:pPr>
      <w:r w:rsidRPr="00A46678">
        <w:rPr>
          <w:b/>
          <w:sz w:val="20"/>
          <w:szCs w:val="20"/>
        </w:rPr>
        <w:t xml:space="preserve"> TRADITIONAL BROKERAGE:  </w:t>
      </w:r>
      <w:r w:rsidRPr="00A46678">
        <w:rPr>
          <w:sz w:val="20"/>
          <w:szCs w:val="20"/>
        </w:rPr>
        <w:t>The traditional form of buying and selling stocks, bonds or mutual funds i</w:t>
      </w:r>
      <w:r w:rsidR="00745905" w:rsidRPr="00A46678">
        <w:rPr>
          <w:sz w:val="20"/>
          <w:szCs w:val="20"/>
        </w:rPr>
        <w:t xml:space="preserve">s to pay a commission or load. </w:t>
      </w:r>
      <w:r w:rsidRPr="00A46678">
        <w:rPr>
          <w:sz w:val="20"/>
          <w:szCs w:val="20"/>
        </w:rPr>
        <w:t>The fees for buying or selling a mutual fund are dis</w:t>
      </w:r>
      <w:r w:rsidR="00745905" w:rsidRPr="00A46678">
        <w:rPr>
          <w:sz w:val="20"/>
          <w:szCs w:val="20"/>
        </w:rPr>
        <w:t xml:space="preserve">closed in the prospectus and </w:t>
      </w:r>
      <w:r w:rsidRPr="00A46678">
        <w:rPr>
          <w:sz w:val="20"/>
          <w:szCs w:val="20"/>
        </w:rPr>
        <w:t xml:space="preserve">should be reviewed carefully before investing.  </w:t>
      </w:r>
      <w:r w:rsidRPr="00A46678">
        <w:rPr>
          <w:b/>
          <w:sz w:val="20"/>
          <w:szCs w:val="20"/>
        </w:rPr>
        <w:t>Mutual Funds</w:t>
      </w:r>
      <w:r w:rsidRPr="00A46678">
        <w:rPr>
          <w:sz w:val="20"/>
          <w:szCs w:val="20"/>
        </w:rPr>
        <w:t xml:space="preserve"> are typically purchased with an</w:t>
      </w:r>
      <w:r w:rsidR="00745905" w:rsidRPr="00A46678">
        <w:rPr>
          <w:sz w:val="20"/>
          <w:szCs w:val="20"/>
        </w:rPr>
        <w:t xml:space="preserve"> upfront sales charge of 5.75% </w:t>
      </w:r>
      <w:r w:rsidRPr="00A46678">
        <w:rPr>
          <w:sz w:val="20"/>
          <w:szCs w:val="20"/>
        </w:rPr>
        <w:t xml:space="preserve">to 0% or they are purchased with a contingent sales charge based on length of time in the fund (this is often called a B or C share fund).  The broker will receive a percentage of the </w:t>
      </w:r>
      <w:r w:rsidRPr="00A46678">
        <w:rPr>
          <w:b/>
          <w:sz w:val="20"/>
          <w:szCs w:val="20"/>
        </w:rPr>
        <w:t>A Share</w:t>
      </w:r>
      <w:r w:rsidRPr="00A46678">
        <w:rPr>
          <w:sz w:val="20"/>
          <w:szCs w:val="20"/>
        </w:rPr>
        <w:t xml:space="preserve"> load.  For example: If no breakpoint is offered, the broker would receive approximately 5%.  Several fund companies are phasing out the </w:t>
      </w:r>
      <w:r w:rsidRPr="00A46678">
        <w:rPr>
          <w:b/>
          <w:sz w:val="20"/>
          <w:szCs w:val="20"/>
        </w:rPr>
        <w:t>B Share</w:t>
      </w:r>
      <w:r w:rsidRPr="00A46678">
        <w:rPr>
          <w:sz w:val="20"/>
          <w:szCs w:val="20"/>
        </w:rPr>
        <w:t xml:space="preserve"> funds.  They normally pay a broker 4% upfront and require the</w:t>
      </w:r>
      <w:r w:rsidR="00745905" w:rsidRPr="00A46678">
        <w:rPr>
          <w:sz w:val="20"/>
          <w:szCs w:val="20"/>
        </w:rPr>
        <w:t xml:space="preserve"> customer to hold the fund for six</w:t>
      </w:r>
      <w:r w:rsidRPr="00A46678">
        <w:rPr>
          <w:sz w:val="20"/>
          <w:szCs w:val="20"/>
        </w:rPr>
        <w:t xml:space="preserve"> years.  The </w:t>
      </w:r>
      <w:r w:rsidRPr="00A46678">
        <w:rPr>
          <w:b/>
          <w:sz w:val="20"/>
          <w:szCs w:val="20"/>
        </w:rPr>
        <w:t>C Share</w:t>
      </w:r>
      <w:r w:rsidRPr="00A46678">
        <w:rPr>
          <w:sz w:val="20"/>
          <w:szCs w:val="20"/>
        </w:rPr>
        <w:t xml:space="preserve"> funds are offered with no upf</w:t>
      </w:r>
      <w:r w:rsidR="00745905" w:rsidRPr="00A46678">
        <w:rPr>
          <w:sz w:val="20"/>
          <w:szCs w:val="20"/>
        </w:rPr>
        <w:t>ront cost to the client and require a one-</w:t>
      </w:r>
      <w:r w:rsidRPr="00A46678">
        <w:rPr>
          <w:sz w:val="20"/>
          <w:szCs w:val="20"/>
        </w:rPr>
        <w:t xml:space="preserve">year commitment to avoid a 1% sales charge.  The C Share normally pays the broker 1% upfront for the deposit and 1% annually based on the market value.  No-load funds are typically offered when using an annual fee, performance-based fee or hourly fee.  A typical commission for buying or selling </w:t>
      </w:r>
      <w:r w:rsidRPr="00A46678">
        <w:rPr>
          <w:b/>
          <w:sz w:val="20"/>
          <w:szCs w:val="20"/>
        </w:rPr>
        <w:t>stocks</w:t>
      </w:r>
      <w:r w:rsidRPr="00A46678">
        <w:rPr>
          <w:sz w:val="20"/>
          <w:szCs w:val="20"/>
        </w:rPr>
        <w:t xml:space="preserve"> is 1-3% of the trade amount.  </w:t>
      </w:r>
      <w:r w:rsidR="004D5875" w:rsidRPr="00A46678">
        <w:rPr>
          <w:sz w:val="20"/>
          <w:szCs w:val="20"/>
        </w:rPr>
        <w:t xml:space="preserve">  </w:t>
      </w:r>
      <w:r w:rsidRPr="00A46678">
        <w:rPr>
          <w:b/>
          <w:sz w:val="20"/>
          <w:szCs w:val="20"/>
        </w:rPr>
        <w:t xml:space="preserve">Bonds </w:t>
      </w:r>
      <w:r w:rsidRPr="00A46678">
        <w:rPr>
          <w:sz w:val="20"/>
          <w:szCs w:val="20"/>
        </w:rPr>
        <w:t>are typically priced with sales credits inclu</w:t>
      </w:r>
      <w:r w:rsidR="00745905" w:rsidRPr="00A46678">
        <w:rPr>
          <w:sz w:val="20"/>
          <w:szCs w:val="20"/>
        </w:rPr>
        <w:t>ded in the purchase price.  The</w:t>
      </w:r>
      <w:r w:rsidRPr="00A46678">
        <w:rPr>
          <w:sz w:val="20"/>
          <w:szCs w:val="20"/>
        </w:rPr>
        <w:t xml:space="preserve"> typical credit ranges from 0.5%-2% of the purchase price.  Other products such as </w:t>
      </w:r>
      <w:r w:rsidRPr="00A46678">
        <w:rPr>
          <w:b/>
          <w:sz w:val="20"/>
          <w:szCs w:val="20"/>
        </w:rPr>
        <w:t xml:space="preserve">annuities </w:t>
      </w:r>
      <w:r w:rsidRPr="00A46678">
        <w:rPr>
          <w:sz w:val="20"/>
          <w:szCs w:val="20"/>
        </w:rPr>
        <w:t xml:space="preserve">or </w:t>
      </w:r>
      <w:r w:rsidRPr="00A46678">
        <w:rPr>
          <w:b/>
          <w:sz w:val="20"/>
          <w:szCs w:val="20"/>
        </w:rPr>
        <w:t xml:space="preserve">alternative investments </w:t>
      </w:r>
      <w:r w:rsidRPr="00A46678">
        <w:rPr>
          <w:sz w:val="20"/>
          <w:szCs w:val="20"/>
        </w:rPr>
        <w:t>(REITs, Oil and Gas programs, etc.</w:t>
      </w:r>
      <w:r w:rsidR="000538D7" w:rsidRPr="00A46678">
        <w:rPr>
          <w:sz w:val="20"/>
          <w:szCs w:val="20"/>
        </w:rPr>
        <w:t xml:space="preserve">) have various fee structures. With most variable annuity contracts, the commission paid to the broker ranges from 5-8% of the contract value. Alternative investments (which include real estate investment trusts, limited partnerships, oil and gas programs, etc.) have unique characteristics and eligibility requirements that often restrict availability to the public. The </w:t>
      </w:r>
      <w:r w:rsidR="00A46678" w:rsidRPr="00A46678">
        <w:rPr>
          <w:sz w:val="20"/>
          <w:szCs w:val="20"/>
        </w:rPr>
        <w:t>commission on these programs typically ranges</w:t>
      </w:r>
      <w:r w:rsidR="00AD11DF">
        <w:rPr>
          <w:sz w:val="20"/>
          <w:szCs w:val="20"/>
        </w:rPr>
        <w:t xml:space="preserve"> from 3</w:t>
      </w:r>
      <w:r w:rsidR="000538D7" w:rsidRPr="00A46678">
        <w:rPr>
          <w:sz w:val="20"/>
          <w:szCs w:val="20"/>
        </w:rPr>
        <w:t>-8%.</w:t>
      </w:r>
    </w:p>
    <w:p w:rsidR="00A46678" w:rsidRPr="00A46678" w:rsidRDefault="00A46678" w:rsidP="00A46678">
      <w:pPr>
        <w:pStyle w:val="ListParagraph"/>
        <w:spacing w:after="0" w:line="240" w:lineRule="auto"/>
        <w:rPr>
          <w:b/>
          <w:sz w:val="20"/>
          <w:szCs w:val="20"/>
        </w:rPr>
      </w:pPr>
    </w:p>
    <w:p w:rsidR="00D52457" w:rsidRPr="00A46678" w:rsidRDefault="00D52457" w:rsidP="00D52457">
      <w:pPr>
        <w:pStyle w:val="ListParagraph"/>
        <w:numPr>
          <w:ilvl w:val="0"/>
          <w:numId w:val="1"/>
        </w:numPr>
        <w:spacing w:after="0" w:line="240" w:lineRule="auto"/>
        <w:rPr>
          <w:b/>
          <w:sz w:val="20"/>
          <w:szCs w:val="20"/>
        </w:rPr>
      </w:pPr>
      <w:r w:rsidRPr="00A46678">
        <w:rPr>
          <w:b/>
          <w:sz w:val="20"/>
          <w:szCs w:val="20"/>
        </w:rPr>
        <w:t xml:space="preserve">ANNUAL FEES:  </w:t>
      </w:r>
      <w:r w:rsidRPr="00A46678">
        <w:rPr>
          <w:sz w:val="20"/>
          <w:szCs w:val="20"/>
        </w:rPr>
        <w:t>Annual fees are sometimes referred to as “Wrap Accounts”.  A flat fee is assessed based upon the value of the assets under management.  The fee is</w:t>
      </w:r>
      <w:r w:rsidR="00745905" w:rsidRPr="00A46678">
        <w:rPr>
          <w:sz w:val="20"/>
          <w:szCs w:val="20"/>
        </w:rPr>
        <w:t xml:space="preserve"> paid quarterly.  For example: </w:t>
      </w:r>
      <w:r w:rsidRPr="00A46678">
        <w:rPr>
          <w:sz w:val="20"/>
          <w:szCs w:val="20"/>
        </w:rPr>
        <w:t>a 1% annual fee would mean that you are charged 0.25% of the account value quarterly.  When using this fee structure, there should never be commissions or loads paid for your transactions.  A typical annual fee structure is as follows:</w:t>
      </w:r>
    </w:p>
    <w:p w:rsidR="00D52457" w:rsidRPr="00A46678" w:rsidRDefault="00D52457" w:rsidP="00D52457">
      <w:pPr>
        <w:pStyle w:val="ListParagraph"/>
        <w:numPr>
          <w:ilvl w:val="0"/>
          <w:numId w:val="2"/>
        </w:numPr>
        <w:spacing w:after="0" w:line="240" w:lineRule="auto"/>
        <w:rPr>
          <w:sz w:val="20"/>
          <w:szCs w:val="20"/>
        </w:rPr>
      </w:pPr>
      <w:r w:rsidRPr="00A46678">
        <w:rPr>
          <w:sz w:val="20"/>
          <w:szCs w:val="20"/>
        </w:rPr>
        <w:t xml:space="preserve"> $25,000 to $100,000:  1.75% annually</w:t>
      </w:r>
    </w:p>
    <w:p w:rsidR="00D52457" w:rsidRPr="00A46678" w:rsidRDefault="00D52457" w:rsidP="00D52457">
      <w:pPr>
        <w:pStyle w:val="ListParagraph"/>
        <w:numPr>
          <w:ilvl w:val="0"/>
          <w:numId w:val="2"/>
        </w:numPr>
        <w:spacing w:after="0" w:line="240" w:lineRule="auto"/>
        <w:rPr>
          <w:sz w:val="20"/>
          <w:szCs w:val="20"/>
        </w:rPr>
      </w:pPr>
      <w:r w:rsidRPr="00A46678">
        <w:rPr>
          <w:sz w:val="20"/>
          <w:szCs w:val="20"/>
        </w:rPr>
        <w:t>$100,000 to $250,000:  1.5% annually</w:t>
      </w:r>
    </w:p>
    <w:p w:rsidR="00D52457" w:rsidRPr="00A46678" w:rsidRDefault="00D52457" w:rsidP="00D52457">
      <w:pPr>
        <w:pStyle w:val="ListParagraph"/>
        <w:numPr>
          <w:ilvl w:val="0"/>
          <w:numId w:val="2"/>
        </w:numPr>
        <w:spacing w:after="0" w:line="240" w:lineRule="auto"/>
        <w:rPr>
          <w:sz w:val="20"/>
          <w:szCs w:val="20"/>
        </w:rPr>
      </w:pPr>
      <w:r w:rsidRPr="00A46678">
        <w:rPr>
          <w:sz w:val="20"/>
          <w:szCs w:val="20"/>
        </w:rPr>
        <w:t>$250,000 to $500,000:  1.25% annually</w:t>
      </w:r>
    </w:p>
    <w:p w:rsidR="00D52457" w:rsidRPr="00A46678" w:rsidRDefault="00D52457" w:rsidP="00D52457">
      <w:pPr>
        <w:pStyle w:val="ListParagraph"/>
        <w:numPr>
          <w:ilvl w:val="0"/>
          <w:numId w:val="2"/>
        </w:numPr>
        <w:spacing w:after="0" w:line="240" w:lineRule="auto"/>
        <w:rPr>
          <w:sz w:val="20"/>
          <w:szCs w:val="20"/>
        </w:rPr>
      </w:pPr>
      <w:r w:rsidRPr="00A46678">
        <w:rPr>
          <w:sz w:val="20"/>
          <w:szCs w:val="20"/>
        </w:rPr>
        <w:t>$500,000 to $1,000,000:  1% annually</w:t>
      </w:r>
    </w:p>
    <w:p w:rsidR="00D52457" w:rsidRDefault="00D52457" w:rsidP="00D52457">
      <w:pPr>
        <w:pStyle w:val="ListParagraph"/>
        <w:numPr>
          <w:ilvl w:val="0"/>
          <w:numId w:val="2"/>
        </w:numPr>
        <w:spacing w:after="0" w:line="240" w:lineRule="auto"/>
        <w:rPr>
          <w:sz w:val="20"/>
          <w:szCs w:val="20"/>
        </w:rPr>
      </w:pPr>
      <w:r w:rsidRPr="00A46678">
        <w:rPr>
          <w:sz w:val="20"/>
          <w:szCs w:val="20"/>
        </w:rPr>
        <w:t xml:space="preserve">Over $1,000,000:  negotiable           </w:t>
      </w:r>
    </w:p>
    <w:p w:rsidR="00A46678" w:rsidRPr="00A46678" w:rsidRDefault="00A46678" w:rsidP="00A46678">
      <w:pPr>
        <w:pStyle w:val="ListParagraph"/>
        <w:spacing w:after="0" w:line="240" w:lineRule="auto"/>
        <w:ind w:left="1080"/>
        <w:rPr>
          <w:sz w:val="20"/>
          <w:szCs w:val="20"/>
        </w:rPr>
      </w:pPr>
    </w:p>
    <w:p w:rsidR="00A46678" w:rsidRPr="00A46678" w:rsidRDefault="009F0709" w:rsidP="00A46678">
      <w:pPr>
        <w:pStyle w:val="NoSpacing"/>
        <w:numPr>
          <w:ilvl w:val="0"/>
          <w:numId w:val="1"/>
        </w:numPr>
        <w:rPr>
          <w:sz w:val="20"/>
          <w:szCs w:val="20"/>
        </w:rPr>
      </w:pPr>
      <w:r w:rsidRPr="00A46678">
        <w:rPr>
          <w:b/>
          <w:sz w:val="20"/>
          <w:szCs w:val="20"/>
        </w:rPr>
        <w:t xml:space="preserve">CORVUS CAPITAL PRIVATE CLIENT PORTFOLIO </w:t>
      </w:r>
      <w:r w:rsidR="00D52457" w:rsidRPr="00A46678">
        <w:rPr>
          <w:b/>
          <w:sz w:val="20"/>
          <w:szCs w:val="20"/>
        </w:rPr>
        <w:t>FEES:</w:t>
      </w:r>
      <w:r w:rsidR="00D52457" w:rsidRPr="00A46678">
        <w:rPr>
          <w:sz w:val="20"/>
          <w:szCs w:val="20"/>
        </w:rPr>
        <w:t xml:space="preserve">  </w:t>
      </w:r>
      <w:r w:rsidR="00A46678" w:rsidRPr="00A46678">
        <w:rPr>
          <w:sz w:val="20"/>
          <w:szCs w:val="20"/>
        </w:rPr>
        <w:t>Corvus Capital’s Private Client Portfolio is a professionally managed, fee based, discretionary account managed by Chad Perkins. The portfolio is considered open architecture and can include asset classes and liquid investment vehicles. This includes individual stocks, bonds, exchange traded funds and options. The portfolio is completely transparent and 100% liquid. The portfolio is considered a risk m</w:t>
      </w:r>
      <w:r w:rsidR="00A57272">
        <w:rPr>
          <w:sz w:val="20"/>
          <w:szCs w:val="20"/>
        </w:rPr>
        <w:t>anagement strategy.</w:t>
      </w:r>
    </w:p>
    <w:p w:rsidR="00A46678" w:rsidRPr="00A46678" w:rsidRDefault="00A46678" w:rsidP="00A46678">
      <w:pPr>
        <w:pStyle w:val="NoSpacing"/>
        <w:rPr>
          <w:sz w:val="20"/>
          <w:szCs w:val="20"/>
        </w:rPr>
      </w:pPr>
      <w:r w:rsidRPr="00A46678">
        <w:rPr>
          <w:sz w:val="20"/>
          <w:szCs w:val="20"/>
        </w:rPr>
        <w:tab/>
        <w:t xml:space="preserve">The management strategy is quantitative and based off of relative strength, flow of money and price action. The portfolio </w:t>
      </w:r>
      <w:r w:rsidRPr="00A46678">
        <w:rPr>
          <w:sz w:val="20"/>
          <w:szCs w:val="20"/>
        </w:rPr>
        <w:tab/>
        <w:t xml:space="preserve">manager allocates monies in sectors that are rising and avoids the sectors of the market that are falling through the </w:t>
      </w:r>
      <w:r w:rsidRPr="00A46678">
        <w:rPr>
          <w:sz w:val="20"/>
          <w:szCs w:val="20"/>
        </w:rPr>
        <w:tab/>
        <w:t xml:space="preserve">proprietary system, which implements technical </w:t>
      </w:r>
      <w:r w:rsidR="00A57272">
        <w:rPr>
          <w:sz w:val="20"/>
          <w:szCs w:val="20"/>
        </w:rPr>
        <w:t>analysis. The portfolio</w:t>
      </w:r>
      <w:r w:rsidRPr="00A46678">
        <w:rPr>
          <w:sz w:val="20"/>
          <w:szCs w:val="20"/>
        </w:rPr>
        <w:t xml:space="preserve"> implements trailing stop </w:t>
      </w:r>
      <w:r w:rsidR="00A57272">
        <w:rPr>
          <w:sz w:val="20"/>
          <w:szCs w:val="20"/>
        </w:rPr>
        <w:t xml:space="preserve">losses as the primary tool </w:t>
      </w:r>
      <w:r w:rsidR="00A57272">
        <w:rPr>
          <w:sz w:val="20"/>
          <w:szCs w:val="20"/>
        </w:rPr>
        <w:tab/>
        <w:t xml:space="preserve">for </w:t>
      </w:r>
      <w:r w:rsidRPr="00A46678">
        <w:rPr>
          <w:sz w:val="20"/>
          <w:szCs w:val="20"/>
        </w:rPr>
        <w:t xml:space="preserve">risk management. There are no restrictions on the extent and frequency of allocation shifts. The minimum investment </w:t>
      </w:r>
      <w:r w:rsidRPr="00A46678">
        <w:rPr>
          <w:sz w:val="20"/>
          <w:szCs w:val="20"/>
        </w:rPr>
        <w:tab/>
        <w:t xml:space="preserve">amount is $100,000 per account, which will be in custody at </w:t>
      </w:r>
      <w:r w:rsidR="002B06F7">
        <w:rPr>
          <w:sz w:val="20"/>
          <w:szCs w:val="20"/>
        </w:rPr>
        <w:t>LPL Financial.</w:t>
      </w:r>
    </w:p>
    <w:p w:rsidR="00A46678" w:rsidRPr="00A46678" w:rsidRDefault="00A46678" w:rsidP="00A46678">
      <w:pPr>
        <w:pStyle w:val="NoSpacing"/>
        <w:rPr>
          <w:sz w:val="20"/>
          <w:szCs w:val="20"/>
        </w:rPr>
      </w:pPr>
      <w:r w:rsidRPr="00A46678">
        <w:rPr>
          <w:sz w:val="20"/>
          <w:szCs w:val="20"/>
        </w:rPr>
        <w:tab/>
        <w:t xml:space="preserve">A client in the portfolio will pay an annualized fee. The fee will be payable monthly in advance. The first payment will be </w:t>
      </w:r>
      <w:r w:rsidRPr="00A46678">
        <w:rPr>
          <w:sz w:val="20"/>
          <w:szCs w:val="20"/>
        </w:rPr>
        <w:tab/>
        <w:t xml:space="preserve">assessed pro rata in the event that this agreement is executed at any other time than the first day of the calendar month. </w:t>
      </w:r>
      <w:r w:rsidRPr="00A46678">
        <w:rPr>
          <w:sz w:val="20"/>
          <w:szCs w:val="20"/>
        </w:rPr>
        <w:tab/>
        <w:t>As compensation for portfolio management services, the client agrees to pay the manager an advisory fee of 2%.</w:t>
      </w:r>
    </w:p>
    <w:p w:rsidR="00A46678" w:rsidRPr="00A46678" w:rsidRDefault="00A46678" w:rsidP="00A46678">
      <w:pPr>
        <w:pStyle w:val="NoSpacing"/>
        <w:rPr>
          <w:sz w:val="20"/>
          <w:szCs w:val="20"/>
        </w:rPr>
      </w:pPr>
      <w:r w:rsidRPr="00A46678">
        <w:rPr>
          <w:sz w:val="20"/>
          <w:szCs w:val="20"/>
        </w:rPr>
        <w:tab/>
        <w:t>The portfolio is exclusively</w:t>
      </w:r>
      <w:r w:rsidR="00D21AD5">
        <w:rPr>
          <w:sz w:val="20"/>
          <w:szCs w:val="20"/>
        </w:rPr>
        <w:t xml:space="preserve"> for Corvus Capital clients. </w:t>
      </w:r>
      <w:r w:rsidRPr="00A46678">
        <w:rPr>
          <w:sz w:val="20"/>
          <w:szCs w:val="20"/>
        </w:rPr>
        <w:t>The fee structure is as follows:</w:t>
      </w:r>
    </w:p>
    <w:p w:rsidR="00A46678" w:rsidRDefault="00A46678" w:rsidP="00A46678">
      <w:pPr>
        <w:pStyle w:val="NoSpacing"/>
        <w:rPr>
          <w:sz w:val="20"/>
          <w:szCs w:val="20"/>
        </w:rPr>
      </w:pPr>
      <w:r w:rsidRPr="00A46678">
        <w:rPr>
          <w:sz w:val="20"/>
          <w:szCs w:val="20"/>
        </w:rPr>
        <w:tab/>
      </w:r>
      <w:r w:rsidRPr="00A46678">
        <w:rPr>
          <w:sz w:val="20"/>
          <w:szCs w:val="20"/>
        </w:rPr>
        <w:tab/>
      </w:r>
    </w:p>
    <w:p w:rsidR="00A46678" w:rsidRPr="00A46678" w:rsidRDefault="00A46678" w:rsidP="00A46678">
      <w:pPr>
        <w:pStyle w:val="NoSpacing"/>
        <w:rPr>
          <w:sz w:val="20"/>
          <w:szCs w:val="20"/>
        </w:rPr>
      </w:pPr>
      <w:r>
        <w:rPr>
          <w:sz w:val="20"/>
          <w:szCs w:val="20"/>
        </w:rPr>
        <w:tab/>
      </w:r>
      <w:r>
        <w:rPr>
          <w:sz w:val="20"/>
          <w:szCs w:val="20"/>
        </w:rPr>
        <w:tab/>
      </w:r>
      <w:r w:rsidRPr="00A46678">
        <w:rPr>
          <w:sz w:val="20"/>
          <w:szCs w:val="20"/>
        </w:rPr>
        <w:t>$100,000 - $1,000,000.00</w:t>
      </w:r>
      <w:r w:rsidRPr="00A46678">
        <w:rPr>
          <w:sz w:val="20"/>
          <w:szCs w:val="20"/>
        </w:rPr>
        <w:tab/>
      </w:r>
      <w:r w:rsidRPr="00A46678">
        <w:rPr>
          <w:sz w:val="20"/>
          <w:szCs w:val="20"/>
        </w:rPr>
        <w:tab/>
      </w:r>
      <w:r w:rsidRPr="00A46678">
        <w:rPr>
          <w:sz w:val="20"/>
          <w:szCs w:val="20"/>
        </w:rPr>
        <w:tab/>
        <w:t>Fee = 2%</w:t>
      </w:r>
    </w:p>
    <w:p w:rsidR="00A46678" w:rsidRPr="00A46678" w:rsidRDefault="00A46678" w:rsidP="00A46678">
      <w:pPr>
        <w:pStyle w:val="NoSpacing"/>
        <w:rPr>
          <w:sz w:val="20"/>
          <w:szCs w:val="20"/>
        </w:rPr>
      </w:pPr>
      <w:r w:rsidRPr="00A46678">
        <w:rPr>
          <w:sz w:val="20"/>
          <w:szCs w:val="20"/>
        </w:rPr>
        <w:tab/>
      </w:r>
      <w:r w:rsidRPr="00A46678">
        <w:rPr>
          <w:sz w:val="20"/>
          <w:szCs w:val="20"/>
        </w:rPr>
        <w:tab/>
        <w:t>$1,000,0</w:t>
      </w:r>
      <w:r w:rsidR="00AD11DF">
        <w:rPr>
          <w:sz w:val="20"/>
          <w:szCs w:val="20"/>
        </w:rPr>
        <w:t>00.00 - $2,000,000.00</w:t>
      </w:r>
      <w:r w:rsidR="00AD11DF">
        <w:rPr>
          <w:sz w:val="20"/>
          <w:szCs w:val="20"/>
        </w:rPr>
        <w:tab/>
      </w:r>
      <w:r w:rsidR="00AD11DF">
        <w:rPr>
          <w:sz w:val="20"/>
          <w:szCs w:val="20"/>
        </w:rPr>
        <w:tab/>
        <w:t>Fee = 1.5% - 2</w:t>
      </w:r>
      <w:r w:rsidRPr="00A46678">
        <w:rPr>
          <w:sz w:val="20"/>
          <w:szCs w:val="20"/>
        </w:rPr>
        <w:t>%</w:t>
      </w:r>
    </w:p>
    <w:p w:rsidR="00A46678" w:rsidRPr="00A46678" w:rsidRDefault="00A46678" w:rsidP="00A46678">
      <w:pPr>
        <w:pStyle w:val="NoSpacing"/>
        <w:rPr>
          <w:sz w:val="20"/>
          <w:szCs w:val="20"/>
        </w:rPr>
      </w:pPr>
      <w:r w:rsidRPr="00A46678">
        <w:rPr>
          <w:sz w:val="20"/>
          <w:szCs w:val="20"/>
        </w:rPr>
        <w:tab/>
      </w:r>
      <w:r w:rsidR="00AD11DF">
        <w:rPr>
          <w:sz w:val="20"/>
          <w:szCs w:val="20"/>
        </w:rPr>
        <w:tab/>
        <w:t>Above $2,000,000.00</w:t>
      </w:r>
      <w:r w:rsidR="00AD11DF">
        <w:rPr>
          <w:sz w:val="20"/>
          <w:szCs w:val="20"/>
        </w:rPr>
        <w:tab/>
      </w:r>
      <w:r w:rsidR="00AD11DF">
        <w:rPr>
          <w:sz w:val="20"/>
          <w:szCs w:val="20"/>
        </w:rPr>
        <w:tab/>
      </w:r>
      <w:r w:rsidR="00AD11DF">
        <w:rPr>
          <w:sz w:val="20"/>
          <w:szCs w:val="20"/>
        </w:rPr>
        <w:tab/>
        <w:t>Fee = Negotiable</w:t>
      </w:r>
    </w:p>
    <w:p w:rsidR="000538D7" w:rsidRPr="00A46678" w:rsidRDefault="000538D7" w:rsidP="00A46678">
      <w:pPr>
        <w:pStyle w:val="ListParagraph"/>
        <w:spacing w:after="0" w:line="240" w:lineRule="auto"/>
        <w:rPr>
          <w:b/>
          <w:sz w:val="20"/>
          <w:szCs w:val="20"/>
        </w:rPr>
      </w:pPr>
    </w:p>
    <w:p w:rsidR="00D52457" w:rsidRPr="00A46678" w:rsidRDefault="00D52457" w:rsidP="00D52457">
      <w:pPr>
        <w:pStyle w:val="ListParagraph"/>
        <w:numPr>
          <w:ilvl w:val="0"/>
          <w:numId w:val="1"/>
        </w:numPr>
        <w:spacing w:after="0" w:line="240" w:lineRule="auto"/>
        <w:rPr>
          <w:b/>
          <w:sz w:val="20"/>
          <w:szCs w:val="20"/>
        </w:rPr>
      </w:pPr>
      <w:r w:rsidRPr="00A46678">
        <w:rPr>
          <w:b/>
          <w:sz w:val="20"/>
          <w:szCs w:val="20"/>
        </w:rPr>
        <w:lastRenderedPageBreak/>
        <w:t>HOURLY FEES:</w:t>
      </w:r>
      <w:r w:rsidRPr="00A46678">
        <w:rPr>
          <w:sz w:val="20"/>
          <w:szCs w:val="20"/>
        </w:rPr>
        <w:t xml:space="preserve">  Hourly fees can be used in situations where the client simply wants advice or consultation for specific needs.  Examples are:  in-depth financial planning, analyzing no-load mutual funds, analyzing 401(k) plans that we do not sponsor or reviewing current financial portfolios.  Hourly fees do not cover any transaction costs for the p</w:t>
      </w:r>
      <w:r w:rsidR="00745905" w:rsidRPr="00A46678">
        <w:rPr>
          <w:sz w:val="20"/>
          <w:szCs w:val="20"/>
        </w:rPr>
        <w:t>urchase or sale of securities. We cha</w:t>
      </w:r>
      <w:r w:rsidR="00AD11DF">
        <w:rPr>
          <w:sz w:val="20"/>
          <w:szCs w:val="20"/>
        </w:rPr>
        <w:t>rge $250</w:t>
      </w:r>
      <w:r w:rsidR="00745905" w:rsidRPr="00A46678">
        <w:rPr>
          <w:sz w:val="20"/>
          <w:szCs w:val="20"/>
        </w:rPr>
        <w:t xml:space="preserve"> </w:t>
      </w:r>
      <w:r w:rsidRPr="00A46678">
        <w:rPr>
          <w:sz w:val="20"/>
          <w:szCs w:val="20"/>
        </w:rPr>
        <w:t>per hour.</w:t>
      </w:r>
    </w:p>
    <w:p w:rsidR="00D52457" w:rsidRPr="00A46678" w:rsidRDefault="00D52457" w:rsidP="00D52457">
      <w:pPr>
        <w:spacing w:after="0" w:line="240" w:lineRule="auto"/>
        <w:rPr>
          <w:sz w:val="20"/>
          <w:szCs w:val="20"/>
        </w:rPr>
      </w:pPr>
      <w:r w:rsidRPr="00A46678">
        <w:rPr>
          <w:b/>
          <w:sz w:val="20"/>
          <w:szCs w:val="20"/>
        </w:rPr>
        <w:t xml:space="preserve">   </w:t>
      </w:r>
    </w:p>
    <w:p w:rsidR="00D52457" w:rsidRPr="00A46678" w:rsidRDefault="00D52457" w:rsidP="00D52457">
      <w:pPr>
        <w:spacing w:after="0" w:line="240" w:lineRule="auto"/>
        <w:rPr>
          <w:sz w:val="20"/>
          <w:szCs w:val="20"/>
        </w:rPr>
      </w:pPr>
      <w:r w:rsidRPr="00A46678">
        <w:rPr>
          <w:sz w:val="20"/>
          <w:szCs w:val="20"/>
        </w:rPr>
        <w:t xml:space="preserve">This worksheet is intended to provide you with a tool to </w:t>
      </w:r>
      <w:r w:rsidR="00745905" w:rsidRPr="00A46678">
        <w:rPr>
          <w:sz w:val="20"/>
          <w:szCs w:val="20"/>
        </w:rPr>
        <w:t xml:space="preserve">help determine </w:t>
      </w:r>
      <w:r w:rsidRPr="00A46678">
        <w:rPr>
          <w:sz w:val="20"/>
          <w:szCs w:val="20"/>
        </w:rPr>
        <w:t>the appropriate fee structure.  There are mutual fund expenses that must be considered independent of representative’s fee.  We will disclose those fees and a prospectus will be provided to assure that you have the proper disclosures.</w:t>
      </w:r>
      <w:r w:rsidR="002D16F7" w:rsidRPr="00A46678">
        <w:rPr>
          <w:sz w:val="20"/>
          <w:szCs w:val="20"/>
        </w:rPr>
        <w:t xml:space="preserve"> With all products, please refer to the prospectus, private placement memorandum, or ADV for a complete discussion of fees and commissions.</w:t>
      </w:r>
    </w:p>
    <w:p w:rsidR="003A114B" w:rsidRPr="00A46678" w:rsidRDefault="003A114B" w:rsidP="00D52457">
      <w:pPr>
        <w:spacing w:after="0" w:line="240" w:lineRule="auto"/>
        <w:rPr>
          <w:sz w:val="20"/>
          <w:szCs w:val="20"/>
        </w:rPr>
      </w:pPr>
    </w:p>
    <w:p w:rsidR="00174DEA" w:rsidRDefault="0005249D" w:rsidP="00D52457">
      <w:pPr>
        <w:spacing w:after="0" w:line="240" w:lineRule="auto"/>
        <w:rPr>
          <w:sz w:val="18"/>
          <w:szCs w:val="18"/>
        </w:rPr>
      </w:pPr>
      <w:r>
        <w:rPr>
          <w:sz w:val="18"/>
          <w:szCs w:val="18"/>
        </w:rPr>
        <w:t>Securities and Advisory Services offered through LPL Financial, a Registered Investment Advisor, Member FINRA/SIPC.</w:t>
      </w:r>
    </w:p>
    <w:sectPr w:rsidR="00174DEA" w:rsidSect="004D58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31B9" w:rsidRDefault="00EC31B9" w:rsidP="00581E1A">
      <w:pPr>
        <w:spacing w:after="0" w:line="240" w:lineRule="auto"/>
      </w:pPr>
      <w:r>
        <w:separator/>
      </w:r>
    </w:p>
  </w:endnote>
  <w:endnote w:type="continuationSeparator" w:id="0">
    <w:p w:rsidR="00EC31B9" w:rsidRDefault="00EC31B9" w:rsidP="0058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31B9" w:rsidRDefault="00EC31B9" w:rsidP="00581E1A">
      <w:pPr>
        <w:spacing w:after="0" w:line="240" w:lineRule="auto"/>
      </w:pPr>
      <w:r>
        <w:separator/>
      </w:r>
    </w:p>
  </w:footnote>
  <w:footnote w:type="continuationSeparator" w:id="0">
    <w:p w:rsidR="00EC31B9" w:rsidRDefault="00EC31B9" w:rsidP="00581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28F0"/>
    <w:multiLevelType w:val="hybridMultilevel"/>
    <w:tmpl w:val="0178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892878"/>
    <w:multiLevelType w:val="hybridMultilevel"/>
    <w:tmpl w:val="FE943590"/>
    <w:lvl w:ilvl="0" w:tplc="8EAAA8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71226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5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57"/>
    <w:rsid w:val="0005249D"/>
    <w:rsid w:val="000538D7"/>
    <w:rsid w:val="00074BD5"/>
    <w:rsid w:val="00174DEA"/>
    <w:rsid w:val="002B06F7"/>
    <w:rsid w:val="002D16F7"/>
    <w:rsid w:val="00365819"/>
    <w:rsid w:val="003A114B"/>
    <w:rsid w:val="00494765"/>
    <w:rsid w:val="004D5875"/>
    <w:rsid w:val="00581E1A"/>
    <w:rsid w:val="006634F2"/>
    <w:rsid w:val="006D05B8"/>
    <w:rsid w:val="00745905"/>
    <w:rsid w:val="00827FA1"/>
    <w:rsid w:val="008775ED"/>
    <w:rsid w:val="00896F46"/>
    <w:rsid w:val="009F0709"/>
    <w:rsid w:val="00A46678"/>
    <w:rsid w:val="00A54D75"/>
    <w:rsid w:val="00A57272"/>
    <w:rsid w:val="00AD11DF"/>
    <w:rsid w:val="00C61410"/>
    <w:rsid w:val="00D1039A"/>
    <w:rsid w:val="00D21AD5"/>
    <w:rsid w:val="00D52457"/>
    <w:rsid w:val="00DA6EF4"/>
    <w:rsid w:val="00E227B6"/>
    <w:rsid w:val="00E50ABE"/>
    <w:rsid w:val="00EC31B9"/>
    <w:rsid w:val="00F20664"/>
    <w:rsid w:val="00F2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1335"/>
  <w15:docId w15:val="{7D82439B-9E5D-4511-AF35-92AAAFC9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457"/>
    <w:pPr>
      <w:ind w:left="720"/>
      <w:contextualSpacing/>
    </w:pPr>
  </w:style>
  <w:style w:type="paragraph" w:styleId="BalloonText">
    <w:name w:val="Balloon Text"/>
    <w:basedOn w:val="Normal"/>
    <w:link w:val="BalloonTextChar"/>
    <w:uiPriority w:val="99"/>
    <w:semiHidden/>
    <w:unhideWhenUsed/>
    <w:rsid w:val="00494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65"/>
    <w:rPr>
      <w:rFonts w:ascii="Tahoma" w:hAnsi="Tahoma" w:cs="Tahoma"/>
      <w:sz w:val="16"/>
      <w:szCs w:val="16"/>
    </w:rPr>
  </w:style>
  <w:style w:type="paragraph" w:styleId="Header">
    <w:name w:val="header"/>
    <w:basedOn w:val="Normal"/>
    <w:link w:val="HeaderChar"/>
    <w:uiPriority w:val="99"/>
    <w:unhideWhenUsed/>
    <w:rsid w:val="00581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1A"/>
  </w:style>
  <w:style w:type="paragraph" w:styleId="Footer">
    <w:name w:val="footer"/>
    <w:basedOn w:val="Normal"/>
    <w:link w:val="FooterChar"/>
    <w:uiPriority w:val="99"/>
    <w:unhideWhenUsed/>
    <w:rsid w:val="00581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1A"/>
  </w:style>
  <w:style w:type="paragraph" w:customStyle="1" w:styleId="Default">
    <w:name w:val="Default"/>
    <w:rsid w:val="00D1039A"/>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D1039A"/>
    <w:rPr>
      <w:rFonts w:cs="Minion Pro"/>
      <w:color w:val="000000"/>
      <w:sz w:val="14"/>
      <w:szCs w:val="14"/>
    </w:rPr>
  </w:style>
  <w:style w:type="character" w:styleId="Hyperlink">
    <w:name w:val="Hyperlink"/>
    <w:basedOn w:val="DefaultParagraphFont"/>
    <w:uiPriority w:val="99"/>
    <w:unhideWhenUsed/>
    <w:rsid w:val="002D16F7"/>
    <w:rPr>
      <w:color w:val="0000FF" w:themeColor="hyperlink"/>
      <w:u w:val="single"/>
    </w:rPr>
  </w:style>
  <w:style w:type="paragraph" w:customStyle="1" w:styleId="BasicParagraph">
    <w:name w:val="[Basic Paragraph]"/>
    <w:basedOn w:val="Normal"/>
    <w:uiPriority w:val="99"/>
    <w:rsid w:val="003A114B"/>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rPr>
  </w:style>
  <w:style w:type="paragraph" w:styleId="NoSpacing">
    <w:name w:val="No Spacing"/>
    <w:uiPriority w:val="1"/>
    <w:qFormat/>
    <w:rsid w:val="00A46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4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Bobbitt</dc:creator>
  <cp:lastModifiedBy>Larry Krone</cp:lastModifiedBy>
  <cp:revision>3</cp:revision>
  <cp:lastPrinted>2014-10-13T13:49:00Z</cp:lastPrinted>
  <dcterms:created xsi:type="dcterms:W3CDTF">2024-11-18T16:31:00Z</dcterms:created>
  <dcterms:modified xsi:type="dcterms:W3CDTF">2024-12-09T18:47:00Z</dcterms:modified>
</cp:coreProperties>
</file>