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8A" w:rsidRPr="00F111A0" w:rsidRDefault="00AA1FA2" w:rsidP="00B76A8A">
      <w:pPr>
        <w:spacing w:before="160" w:line="240" w:lineRule="auto"/>
        <w:jc w:val="center"/>
        <w:rPr>
          <w:rFonts w:asciiTheme="majorHAnsi" w:hAnsiTheme="majorHAnsi" w:cs="Times New Roman"/>
          <w:i/>
          <w:sz w:val="28"/>
          <w:szCs w:val="24"/>
        </w:rPr>
      </w:pPr>
      <w:bookmarkStart w:id="0" w:name="_Hlk534125957"/>
      <w:r w:rsidRPr="00F111A0">
        <w:rPr>
          <w:rFonts w:asciiTheme="majorHAnsi" w:hAnsiTheme="majorHAnsi" w:cs="Times New Roman"/>
          <w:i/>
          <w:sz w:val="28"/>
          <w:szCs w:val="24"/>
        </w:rPr>
        <w:t xml:space="preserve">In this month’s recap: </w:t>
      </w:r>
      <w:r>
        <w:rPr>
          <w:rFonts w:asciiTheme="majorHAnsi" w:hAnsiTheme="majorHAnsi" w:cs="Times New Roman"/>
          <w:i/>
          <w:sz w:val="28"/>
          <w:szCs w:val="24"/>
        </w:rPr>
        <w:t>equity and</w:t>
      </w:r>
      <w:r>
        <w:rPr>
          <w:rFonts w:asciiTheme="majorHAnsi" w:hAnsiTheme="majorHAnsi" w:cs="Times New Roman"/>
          <w:i/>
          <w:sz w:val="28"/>
          <w:szCs w:val="24"/>
        </w:rPr>
        <w:t xml:space="preserve"> commodity markets experience </w:t>
      </w:r>
      <w:r>
        <w:rPr>
          <w:rFonts w:asciiTheme="majorHAnsi" w:hAnsiTheme="majorHAnsi" w:cs="Times New Roman"/>
          <w:i/>
          <w:sz w:val="28"/>
          <w:szCs w:val="24"/>
        </w:rPr>
        <w:t xml:space="preserve">major </w:t>
      </w:r>
      <w:r>
        <w:rPr>
          <w:rFonts w:asciiTheme="majorHAnsi" w:hAnsiTheme="majorHAnsi" w:cs="Times New Roman"/>
          <w:i/>
          <w:sz w:val="28"/>
          <w:szCs w:val="24"/>
        </w:rPr>
        <w:t>losses</w:t>
      </w:r>
      <w:r w:rsidRPr="00F111A0">
        <w:rPr>
          <w:rFonts w:asciiTheme="majorHAnsi" w:hAnsiTheme="majorHAnsi" w:cs="Times New Roman"/>
          <w:i/>
          <w:sz w:val="28"/>
          <w:szCs w:val="24"/>
        </w:rPr>
        <w:t>,</w:t>
      </w:r>
      <w:r w:rsidRPr="00F111A0">
        <w:rPr>
          <w:rFonts w:asciiTheme="majorHAnsi" w:hAnsiTheme="majorHAnsi" w:cs="Times New Roman"/>
          <w:i/>
          <w:sz w:val="28"/>
          <w:szCs w:val="24"/>
        </w:rPr>
        <w:t xml:space="preserve"> </w:t>
      </w:r>
      <w:r>
        <w:rPr>
          <w:rFonts w:asciiTheme="majorHAnsi" w:hAnsiTheme="majorHAnsi" w:cs="Times New Roman"/>
          <w:i/>
          <w:sz w:val="28"/>
          <w:szCs w:val="24"/>
        </w:rPr>
        <w:t xml:space="preserve">the Fed sends a hawkish message, home sales </w:t>
      </w:r>
      <w:r>
        <w:rPr>
          <w:rFonts w:asciiTheme="majorHAnsi" w:hAnsiTheme="majorHAnsi" w:cs="Times New Roman"/>
          <w:i/>
          <w:sz w:val="28"/>
          <w:szCs w:val="24"/>
        </w:rPr>
        <w:t>improve</w:t>
      </w:r>
      <w:r>
        <w:rPr>
          <w:rFonts w:asciiTheme="majorHAnsi" w:hAnsiTheme="majorHAnsi" w:cs="Times New Roman"/>
          <w:i/>
          <w:sz w:val="28"/>
          <w:szCs w:val="24"/>
        </w:rPr>
        <w:t xml:space="preserve">, and </w:t>
      </w:r>
      <w:r>
        <w:rPr>
          <w:rFonts w:asciiTheme="majorHAnsi" w:hAnsiTheme="majorHAnsi" w:cs="Times New Roman"/>
          <w:i/>
          <w:sz w:val="28"/>
          <w:szCs w:val="24"/>
        </w:rPr>
        <w:t>the economy</w:t>
      </w:r>
      <w:r>
        <w:rPr>
          <w:rFonts w:asciiTheme="majorHAnsi" w:hAnsiTheme="majorHAnsi" w:cs="Times New Roman"/>
          <w:i/>
          <w:sz w:val="28"/>
          <w:szCs w:val="24"/>
        </w:rPr>
        <w:t xml:space="preserve"> maintains its </w:t>
      </w:r>
      <w:r>
        <w:rPr>
          <w:rFonts w:asciiTheme="majorHAnsi" w:hAnsiTheme="majorHAnsi" w:cs="Times New Roman"/>
          <w:i/>
          <w:sz w:val="28"/>
          <w:szCs w:val="24"/>
        </w:rPr>
        <w:t>momentum</w:t>
      </w:r>
      <w:r w:rsidRPr="00F111A0">
        <w:rPr>
          <w:rFonts w:asciiTheme="majorHAnsi" w:hAnsiTheme="majorHAnsi" w:cs="Times New Roman"/>
          <w:i/>
          <w:sz w:val="28"/>
          <w:szCs w:val="24"/>
        </w:rPr>
        <w:t>.</w:t>
      </w:r>
    </w:p>
    <w:p w:rsidR="00F82321" w:rsidRPr="00A56786" w:rsidRDefault="00AA1FA2"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AA1FA2" w:rsidP="00EE6BF2">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RDefault="00AA1FA2" w:rsidP="00EE6BF2">
      <w:pPr>
        <w:spacing w:before="160" w:line="276" w:lineRule="auto"/>
        <w:jc w:val="center"/>
        <w:rPr>
          <w:rFonts w:asciiTheme="majorHAnsi" w:hAnsiTheme="majorHAnsi" w:cs="Times New Roman"/>
          <w:color w:val="808080" w:themeColor="background1" w:themeShade="80"/>
          <w:sz w:val="2"/>
          <w:szCs w:val="24"/>
        </w:rPr>
      </w:pPr>
    </w:p>
    <w:p w:rsidR="00F82321" w:rsidRPr="00DD38C0" w:rsidRDefault="00AA1FA2" w:rsidP="00EE6BF2">
      <w:pPr>
        <w:spacing w:before="160" w:line="276" w:lineRule="auto"/>
        <w:jc w:val="center"/>
        <w:rPr>
          <w:rFonts w:asciiTheme="majorHAnsi" w:hAnsiTheme="majorHAnsi" w:cs="Times New Roman"/>
          <w:i/>
          <w:color w:val="646464"/>
          <w:sz w:val="24"/>
          <w:szCs w:val="24"/>
        </w:rPr>
      </w:pP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January</w:t>
      </w:r>
      <w:r w:rsidRPr="00DD38C0">
        <w:rPr>
          <w:rFonts w:asciiTheme="majorHAnsi" w:hAnsiTheme="majorHAnsi" w:cs="Times New Roman"/>
          <w:i/>
          <w:color w:val="646464"/>
          <w:sz w:val="24"/>
          <w:szCs w:val="24"/>
        </w:rPr>
        <w:t xml:space="preserve"> 201</w:t>
      </w:r>
      <w:r>
        <w:rPr>
          <w:rFonts w:asciiTheme="majorHAnsi" w:hAnsiTheme="majorHAnsi" w:cs="Times New Roman"/>
          <w:i/>
          <w:color w:val="646464"/>
          <w:sz w:val="24"/>
          <w:szCs w:val="24"/>
        </w:rPr>
        <w:t>9</w:t>
      </w:r>
    </w:p>
    <w:p w:rsidR="002544C5" w:rsidRPr="00DD38C0" w:rsidRDefault="00AA1FA2" w:rsidP="00EE6BF2">
      <w:pPr>
        <w:spacing w:before="160" w:line="276" w:lineRule="auto"/>
        <w:jc w:val="center"/>
        <w:rPr>
          <w:rFonts w:asciiTheme="majorHAnsi" w:hAnsiTheme="majorHAnsi" w:cs="Times New Roman"/>
          <w:color w:val="000000" w:themeColor="text1"/>
          <w:sz w:val="4"/>
          <w:szCs w:val="24"/>
        </w:rPr>
      </w:pPr>
    </w:p>
    <w:p w:rsidR="00775662" w:rsidRDefault="00AA1FA2"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330ECD" w:rsidRDefault="00AA1FA2" w:rsidP="00EE6BF2">
      <w:pPr>
        <w:spacing w:line="276" w:lineRule="auto"/>
        <w:jc w:val="both"/>
        <w:rPr>
          <w:rFonts w:asciiTheme="majorHAnsi" w:hAnsiTheme="majorHAnsi"/>
          <w:color w:val="002060"/>
          <w:sz w:val="24"/>
          <w:szCs w:val="24"/>
        </w:rPr>
      </w:pPr>
      <w:r w:rsidRPr="0058618B">
        <w:rPr>
          <w:rFonts w:asciiTheme="majorHAnsi" w:hAnsiTheme="majorHAnsi" w:cstheme="majorHAnsi"/>
          <w:sz w:val="24"/>
          <w:szCs w:val="24"/>
        </w:rPr>
        <w:t xml:space="preserve">December 2018 will be remembered for its volatility and its </w:t>
      </w:r>
      <w:r w:rsidRPr="000218D4">
        <w:rPr>
          <w:rFonts w:asciiTheme="majorHAnsi" w:hAnsiTheme="majorHAnsi" w:cstheme="majorHAnsi"/>
          <w:sz w:val="24"/>
          <w:szCs w:val="24"/>
        </w:rPr>
        <w:t>challenges</w:t>
      </w:r>
      <w:r w:rsidRPr="000218D4">
        <w:rPr>
          <w:rFonts w:asciiTheme="majorHAnsi" w:hAnsiTheme="majorHAnsi" w:cstheme="majorHAnsi"/>
          <w:sz w:val="24"/>
          <w:szCs w:val="24"/>
        </w:rPr>
        <w:t>.</w:t>
      </w:r>
      <w:r w:rsidRPr="000218D4">
        <w:rPr>
          <w:rFonts w:asciiTheme="majorHAnsi" w:hAnsiTheme="majorHAnsi" w:cstheme="majorHAnsi"/>
          <w:sz w:val="24"/>
          <w:szCs w:val="24"/>
        </w:rPr>
        <w:t xml:space="preserve"> </w:t>
      </w:r>
      <w:r w:rsidRPr="000218D4">
        <w:rPr>
          <w:rFonts w:asciiTheme="majorHAnsi" w:hAnsiTheme="majorHAnsi" w:cstheme="majorHAnsi"/>
          <w:sz w:val="24"/>
          <w:szCs w:val="24"/>
        </w:rPr>
        <w:t>T</w:t>
      </w:r>
      <w:r w:rsidRPr="000218D4">
        <w:rPr>
          <w:rFonts w:asciiTheme="majorHAnsi" w:hAnsiTheme="majorHAnsi"/>
          <w:sz w:val="24"/>
          <w:szCs w:val="24"/>
        </w:rPr>
        <w:t xml:space="preserve">he S&amp;P 500 flirted with bear market territory, </w:t>
      </w:r>
      <w:r w:rsidRPr="000218D4">
        <w:rPr>
          <w:rFonts w:asciiTheme="majorHAnsi" w:hAnsiTheme="majorHAnsi"/>
          <w:sz w:val="24"/>
          <w:szCs w:val="24"/>
        </w:rPr>
        <w:t>dropping</w:t>
      </w:r>
      <w:r w:rsidRPr="000218D4">
        <w:rPr>
          <w:rFonts w:asciiTheme="majorHAnsi" w:hAnsiTheme="majorHAnsi"/>
          <w:sz w:val="24"/>
          <w:szCs w:val="24"/>
        </w:rPr>
        <w:t xml:space="preserve"> </w:t>
      </w:r>
      <w:r w:rsidRPr="000218D4">
        <w:rPr>
          <w:rFonts w:asciiTheme="majorHAnsi" w:hAnsiTheme="majorHAnsi"/>
          <w:sz w:val="24"/>
          <w:szCs w:val="24"/>
        </w:rPr>
        <w:t>10.16</w:t>
      </w:r>
      <w:r w:rsidRPr="000218D4">
        <w:rPr>
          <w:rFonts w:asciiTheme="majorHAnsi" w:hAnsiTheme="majorHAnsi"/>
          <w:sz w:val="24"/>
          <w:szCs w:val="24"/>
        </w:rPr>
        <w:t xml:space="preserve">% for the month. </w:t>
      </w:r>
      <w:r w:rsidRPr="000218D4">
        <w:rPr>
          <w:rFonts w:asciiTheme="majorHAnsi" w:hAnsiTheme="majorHAnsi"/>
          <w:sz w:val="24"/>
          <w:szCs w:val="24"/>
        </w:rPr>
        <w:t xml:space="preserve">Appetite </w:t>
      </w:r>
      <w:r>
        <w:rPr>
          <w:rFonts w:asciiTheme="majorHAnsi" w:hAnsiTheme="majorHAnsi"/>
          <w:sz w:val="24"/>
          <w:szCs w:val="24"/>
        </w:rPr>
        <w:t xml:space="preserve">for risk </w:t>
      </w:r>
      <w:r>
        <w:rPr>
          <w:rFonts w:asciiTheme="majorHAnsi" w:hAnsiTheme="majorHAnsi"/>
          <w:sz w:val="24"/>
          <w:szCs w:val="24"/>
        </w:rPr>
        <w:t>declined here and abroad</w:t>
      </w:r>
      <w:r>
        <w:rPr>
          <w:rFonts w:asciiTheme="majorHAnsi" w:hAnsiTheme="majorHAnsi"/>
          <w:sz w:val="24"/>
          <w:szCs w:val="24"/>
        </w:rPr>
        <w:t xml:space="preserve"> in the face of tariffs, concerns about the </w:t>
      </w:r>
      <w:r w:rsidRPr="00DB0A2F">
        <w:rPr>
          <w:rFonts w:asciiTheme="majorHAnsi" w:hAnsiTheme="majorHAnsi"/>
          <w:sz w:val="24"/>
          <w:szCs w:val="24"/>
        </w:rPr>
        <w:t>Fed</w:t>
      </w:r>
      <w:r>
        <w:rPr>
          <w:rFonts w:asciiTheme="majorHAnsi" w:hAnsiTheme="majorHAnsi"/>
          <w:sz w:val="24"/>
          <w:szCs w:val="24"/>
        </w:rPr>
        <w:t>eral Reserve</w:t>
      </w:r>
      <w:r w:rsidRPr="00DB0A2F">
        <w:rPr>
          <w:rFonts w:asciiTheme="majorHAnsi" w:hAnsiTheme="majorHAnsi"/>
          <w:sz w:val="24"/>
          <w:szCs w:val="24"/>
        </w:rPr>
        <w:t xml:space="preserve"> </w:t>
      </w:r>
      <w:r>
        <w:rPr>
          <w:rFonts w:asciiTheme="majorHAnsi" w:hAnsiTheme="majorHAnsi"/>
          <w:sz w:val="24"/>
          <w:szCs w:val="24"/>
        </w:rPr>
        <w:t>raising</w:t>
      </w:r>
      <w:r w:rsidRPr="00DB0A2F">
        <w:rPr>
          <w:rFonts w:asciiTheme="majorHAnsi" w:hAnsiTheme="majorHAnsi"/>
          <w:sz w:val="24"/>
          <w:szCs w:val="24"/>
        </w:rPr>
        <w:t xml:space="preserve"> interest rates too </w:t>
      </w:r>
      <w:r>
        <w:rPr>
          <w:rFonts w:asciiTheme="majorHAnsi" w:hAnsiTheme="majorHAnsi"/>
          <w:sz w:val="24"/>
          <w:szCs w:val="24"/>
        </w:rPr>
        <w:t>quickly,</w:t>
      </w:r>
      <w:r w:rsidRPr="00DB0A2F">
        <w:rPr>
          <w:rFonts w:asciiTheme="majorHAnsi" w:hAnsiTheme="majorHAnsi"/>
          <w:sz w:val="24"/>
          <w:szCs w:val="24"/>
        </w:rPr>
        <w:t xml:space="preserve"> </w:t>
      </w:r>
      <w:r>
        <w:rPr>
          <w:rFonts w:asciiTheme="majorHAnsi" w:hAnsiTheme="majorHAnsi"/>
          <w:sz w:val="24"/>
          <w:szCs w:val="24"/>
        </w:rPr>
        <w:t>a federal government shutdown, and quest</w:t>
      </w:r>
      <w:r>
        <w:rPr>
          <w:rFonts w:asciiTheme="majorHAnsi" w:hAnsiTheme="majorHAnsi"/>
          <w:sz w:val="24"/>
          <w:szCs w:val="24"/>
        </w:rPr>
        <w:t xml:space="preserve">ions about the Brexit. It was also a difficult month for commodities. In contrast, </w:t>
      </w:r>
      <w:r w:rsidRPr="00DB0A2F">
        <w:rPr>
          <w:rFonts w:asciiTheme="majorHAnsi" w:hAnsiTheme="majorHAnsi"/>
          <w:sz w:val="24"/>
          <w:szCs w:val="24"/>
        </w:rPr>
        <w:t xml:space="preserve">Main Street </w:t>
      </w:r>
      <w:r>
        <w:rPr>
          <w:rFonts w:asciiTheme="majorHAnsi" w:hAnsiTheme="majorHAnsi"/>
          <w:sz w:val="24"/>
          <w:szCs w:val="24"/>
        </w:rPr>
        <w:t>seemed in</w:t>
      </w:r>
      <w:r w:rsidRPr="00DB0A2F">
        <w:rPr>
          <w:rFonts w:asciiTheme="majorHAnsi" w:hAnsiTheme="majorHAnsi"/>
          <w:sz w:val="24"/>
          <w:szCs w:val="24"/>
        </w:rPr>
        <w:t xml:space="preserve"> good shape</w:t>
      </w:r>
      <w:r>
        <w:rPr>
          <w:rFonts w:asciiTheme="majorHAnsi" w:hAnsiTheme="majorHAnsi"/>
          <w:sz w:val="24"/>
          <w:szCs w:val="24"/>
        </w:rPr>
        <w:t xml:space="preserve">: low unemployment, high consumer confidence, and strong consumer spending were </w:t>
      </w:r>
      <w:r>
        <w:rPr>
          <w:rFonts w:asciiTheme="majorHAnsi" w:hAnsiTheme="majorHAnsi"/>
          <w:sz w:val="24"/>
          <w:szCs w:val="24"/>
        </w:rPr>
        <w:t xml:space="preserve">all </w:t>
      </w:r>
      <w:r>
        <w:rPr>
          <w:rFonts w:asciiTheme="majorHAnsi" w:hAnsiTheme="majorHAnsi"/>
          <w:sz w:val="24"/>
          <w:szCs w:val="24"/>
        </w:rPr>
        <w:t>evident.</w:t>
      </w:r>
      <w:r w:rsidRPr="001A7B57">
        <w:rPr>
          <w:rFonts w:asciiTheme="majorHAnsi" w:hAnsiTheme="majorHAnsi"/>
          <w:sz w:val="24"/>
          <w:szCs w:val="24"/>
          <w:vertAlign w:val="superscript"/>
        </w:rPr>
        <w:t>1</w:t>
      </w:r>
    </w:p>
    <w:p w:rsidR="00775662" w:rsidRPr="00DD38C0" w:rsidRDefault="00AA1FA2" w:rsidP="00EE6BF2">
      <w:pPr>
        <w:spacing w:line="276" w:lineRule="auto"/>
        <w:rPr>
          <w:rFonts w:asciiTheme="majorHAnsi" w:hAnsiTheme="majorHAnsi"/>
          <w:sz w:val="6"/>
          <w:szCs w:val="24"/>
        </w:rPr>
      </w:pPr>
    </w:p>
    <w:p w:rsidR="00775662" w:rsidRDefault="00AA1FA2"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AA1FA2" w:rsidP="00EE6BF2">
      <w:pPr>
        <w:spacing w:line="276" w:lineRule="auto"/>
        <w:rPr>
          <w:rFonts w:asciiTheme="majorHAnsi" w:hAnsiTheme="majorHAnsi"/>
          <w:sz w:val="6"/>
          <w:szCs w:val="24"/>
        </w:rPr>
      </w:pPr>
    </w:p>
    <w:p w:rsidR="00775662" w:rsidRDefault="00AA1FA2"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CC7047" w:rsidRPr="006C3F27" w:rsidRDefault="00AA1FA2" w:rsidP="00946B0D">
      <w:pPr>
        <w:spacing w:line="276" w:lineRule="auto"/>
        <w:jc w:val="both"/>
        <w:rPr>
          <w:rStyle w:val="st"/>
          <w:rFonts w:asciiTheme="majorHAnsi" w:hAnsiTheme="majorHAnsi" w:cstheme="majorHAnsi"/>
          <w:sz w:val="24"/>
          <w:szCs w:val="24"/>
        </w:rPr>
      </w:pPr>
      <w:r w:rsidRPr="006C3F27">
        <w:rPr>
          <w:rStyle w:val="st"/>
          <w:rFonts w:asciiTheme="majorHAnsi" w:hAnsiTheme="majorHAnsi" w:cstheme="majorHAnsi"/>
          <w:sz w:val="24"/>
          <w:szCs w:val="24"/>
        </w:rPr>
        <w:t xml:space="preserve">While the Federal Reserve certainly pays attention to Wall Street’s mood, it adjusts its monetary policy </w:t>
      </w:r>
      <w:r w:rsidRPr="006C3F27">
        <w:rPr>
          <w:rStyle w:val="st"/>
          <w:rFonts w:asciiTheme="majorHAnsi" w:hAnsiTheme="majorHAnsi" w:cstheme="majorHAnsi"/>
          <w:sz w:val="24"/>
          <w:szCs w:val="24"/>
        </w:rPr>
        <w:t>in respect to the economy, not the preferences of market participants. In December, the central bank did not exactly tell inv</w:t>
      </w:r>
      <w:r w:rsidRPr="006C3F27">
        <w:rPr>
          <w:rStyle w:val="st"/>
          <w:rFonts w:asciiTheme="majorHAnsi" w:hAnsiTheme="majorHAnsi" w:cstheme="majorHAnsi"/>
          <w:sz w:val="24"/>
          <w:szCs w:val="24"/>
        </w:rPr>
        <w:t xml:space="preserve">estors what they wanted to hear. Following the announcement of another quarter-point rate hike (the target range is now 2.25-2.5%), Fed chair Jerome Powell </w:t>
      </w:r>
      <w:r w:rsidRPr="006C3F27">
        <w:rPr>
          <w:rStyle w:val="st"/>
          <w:rFonts w:asciiTheme="majorHAnsi" w:hAnsiTheme="majorHAnsi" w:cstheme="majorHAnsi"/>
          <w:sz w:val="24"/>
          <w:szCs w:val="24"/>
        </w:rPr>
        <w:t>stated that</w:t>
      </w:r>
      <w:r w:rsidRPr="006C3F27">
        <w:rPr>
          <w:rStyle w:val="st"/>
          <w:rFonts w:asciiTheme="majorHAnsi" w:hAnsiTheme="majorHAnsi" w:cstheme="majorHAnsi"/>
          <w:sz w:val="24"/>
          <w:szCs w:val="24"/>
        </w:rPr>
        <w:t xml:space="preserve"> monetary policy “does not need to be accommodative,” and </w:t>
      </w:r>
      <w:r w:rsidRPr="006C3F27">
        <w:rPr>
          <w:rStyle w:val="st"/>
          <w:rFonts w:asciiTheme="majorHAnsi" w:hAnsiTheme="majorHAnsi" w:cstheme="majorHAnsi"/>
          <w:sz w:val="24"/>
          <w:szCs w:val="24"/>
        </w:rPr>
        <w:t>affirmed that the Fed would con</w:t>
      </w:r>
      <w:r w:rsidRPr="006C3F27">
        <w:rPr>
          <w:rStyle w:val="st"/>
          <w:rFonts w:asciiTheme="majorHAnsi" w:hAnsiTheme="majorHAnsi" w:cstheme="majorHAnsi"/>
          <w:sz w:val="24"/>
          <w:szCs w:val="24"/>
        </w:rPr>
        <w:t>tinue to remove up to $50 billion per month of Treasury and mortgage-backed securities from its balance sheet. According to the latest Fed dot-plot, there would be no pause in tightening: two rate hikes were still envisioned for 2019. Major indices fell sh</w:t>
      </w:r>
      <w:r w:rsidRPr="006C3F27">
        <w:rPr>
          <w:rStyle w:val="st"/>
          <w:rFonts w:asciiTheme="majorHAnsi" w:hAnsiTheme="majorHAnsi" w:cstheme="majorHAnsi"/>
          <w:sz w:val="24"/>
          <w:szCs w:val="24"/>
        </w:rPr>
        <w:t>arply after Powell’s remarks.</w:t>
      </w:r>
      <w:r w:rsidRPr="006C3F27">
        <w:rPr>
          <w:rFonts w:asciiTheme="majorHAnsi" w:hAnsiTheme="majorHAnsi" w:cstheme="majorHAnsi"/>
          <w:sz w:val="24"/>
          <w:szCs w:val="24"/>
          <w:vertAlign w:val="superscript"/>
        </w:rPr>
        <w:t>2</w:t>
      </w:r>
    </w:p>
    <w:p w:rsidR="00F81AA6" w:rsidRPr="007A574C" w:rsidRDefault="00AA1FA2" w:rsidP="00946B0D">
      <w:pPr>
        <w:spacing w:line="276" w:lineRule="auto"/>
        <w:jc w:val="both"/>
        <w:rPr>
          <w:rStyle w:val="st"/>
          <w:rFonts w:asciiTheme="majorHAnsi" w:hAnsiTheme="majorHAnsi"/>
          <w:sz w:val="24"/>
          <w:szCs w:val="24"/>
        </w:rPr>
      </w:pPr>
      <w:r>
        <w:rPr>
          <w:rStyle w:val="st"/>
          <w:rFonts w:asciiTheme="majorHAnsi" w:hAnsiTheme="majorHAnsi"/>
          <w:sz w:val="24"/>
          <w:szCs w:val="24"/>
        </w:rPr>
        <w:t>To justify its stance, the Fed could point to a number of economic indicators</w:t>
      </w:r>
      <w:r w:rsidRPr="007055DA">
        <w:rPr>
          <w:rStyle w:val="st"/>
          <w:rFonts w:asciiTheme="majorHAnsi" w:hAnsiTheme="majorHAnsi"/>
          <w:sz w:val="24"/>
          <w:szCs w:val="24"/>
        </w:rPr>
        <w:t xml:space="preserve">. </w:t>
      </w:r>
      <w:r>
        <w:rPr>
          <w:rStyle w:val="st"/>
          <w:rFonts w:asciiTheme="majorHAnsi" w:hAnsiTheme="majorHAnsi"/>
          <w:sz w:val="24"/>
          <w:szCs w:val="24"/>
        </w:rPr>
        <w:t>The manufacturing and service sectors were seeing considerable expansion, by the look of the Institute for S</w:t>
      </w:r>
      <w:r w:rsidRPr="00AA63DD">
        <w:rPr>
          <w:rStyle w:val="st"/>
          <w:rFonts w:asciiTheme="majorHAnsi" w:hAnsiTheme="majorHAnsi"/>
          <w:sz w:val="24"/>
          <w:szCs w:val="24"/>
        </w:rPr>
        <w:t xml:space="preserve">upply Management’s November purchasing manager indices. </w:t>
      </w:r>
      <w:r w:rsidRPr="00AA63DD">
        <w:rPr>
          <w:rStyle w:val="st"/>
          <w:rFonts w:asciiTheme="majorHAnsi" w:hAnsiTheme="majorHAnsi"/>
          <w:sz w:val="24"/>
          <w:szCs w:val="24"/>
        </w:rPr>
        <w:t xml:space="preserve">ISM’s non-manufacturing PMI rose 0.4 points to 60.7, and its factory PMI climbed 1.6 </w:t>
      </w:r>
      <w:r w:rsidRPr="001145F9">
        <w:rPr>
          <w:rStyle w:val="st"/>
          <w:rFonts w:asciiTheme="majorHAnsi" w:hAnsiTheme="majorHAnsi"/>
          <w:sz w:val="24"/>
          <w:szCs w:val="24"/>
        </w:rPr>
        <w:t xml:space="preserve">points to 59.3; these were great readings. </w:t>
      </w:r>
      <w:r w:rsidRPr="001145F9">
        <w:rPr>
          <w:rStyle w:val="st"/>
          <w:rFonts w:asciiTheme="majorHAnsi" w:hAnsiTheme="majorHAnsi"/>
          <w:sz w:val="24"/>
          <w:szCs w:val="24"/>
        </w:rPr>
        <w:t xml:space="preserve">(Additionally, the </w:t>
      </w:r>
      <w:r>
        <w:rPr>
          <w:rStyle w:val="st"/>
          <w:rFonts w:asciiTheme="majorHAnsi" w:hAnsiTheme="majorHAnsi"/>
          <w:sz w:val="24"/>
          <w:szCs w:val="24"/>
        </w:rPr>
        <w:t>F</w:t>
      </w:r>
      <w:r w:rsidRPr="001145F9">
        <w:rPr>
          <w:rStyle w:val="st"/>
          <w:rFonts w:asciiTheme="majorHAnsi" w:hAnsiTheme="majorHAnsi"/>
          <w:sz w:val="24"/>
          <w:szCs w:val="24"/>
        </w:rPr>
        <w:t xml:space="preserve">ederal </w:t>
      </w:r>
      <w:r>
        <w:rPr>
          <w:rStyle w:val="st"/>
          <w:rFonts w:asciiTheme="majorHAnsi" w:hAnsiTheme="majorHAnsi"/>
          <w:sz w:val="24"/>
          <w:szCs w:val="24"/>
        </w:rPr>
        <w:t>Reserve</w:t>
      </w:r>
      <w:r w:rsidRPr="001145F9">
        <w:rPr>
          <w:rStyle w:val="st"/>
          <w:rFonts w:asciiTheme="majorHAnsi" w:hAnsiTheme="majorHAnsi"/>
          <w:sz w:val="24"/>
          <w:szCs w:val="24"/>
        </w:rPr>
        <w:t xml:space="preserve"> said </w:t>
      </w:r>
      <w:r>
        <w:rPr>
          <w:rStyle w:val="st"/>
          <w:rFonts w:asciiTheme="majorHAnsi" w:hAnsiTheme="majorHAnsi"/>
          <w:sz w:val="24"/>
          <w:szCs w:val="24"/>
        </w:rPr>
        <w:t xml:space="preserve">that </w:t>
      </w:r>
      <w:r w:rsidRPr="001145F9">
        <w:rPr>
          <w:rStyle w:val="st"/>
          <w:rFonts w:asciiTheme="majorHAnsi" w:hAnsiTheme="majorHAnsi"/>
          <w:sz w:val="24"/>
          <w:szCs w:val="24"/>
        </w:rPr>
        <w:t xml:space="preserve">industrial production rose </w:t>
      </w:r>
      <w:r w:rsidRPr="001145F9">
        <w:rPr>
          <w:rStyle w:val="st"/>
          <w:rFonts w:asciiTheme="majorHAnsi" w:hAnsiTheme="majorHAnsi"/>
          <w:sz w:val="24"/>
          <w:szCs w:val="24"/>
        </w:rPr>
        <w:t xml:space="preserve">0.6% in November.) </w:t>
      </w:r>
      <w:r w:rsidRPr="001145F9">
        <w:rPr>
          <w:rStyle w:val="st"/>
          <w:rFonts w:asciiTheme="majorHAnsi" w:hAnsiTheme="majorHAnsi"/>
          <w:sz w:val="24"/>
          <w:szCs w:val="24"/>
        </w:rPr>
        <w:lastRenderedPageBreak/>
        <w:t xml:space="preserve">Department of Commerce </w:t>
      </w:r>
      <w:r w:rsidRPr="00487EB8">
        <w:rPr>
          <w:rStyle w:val="st"/>
          <w:rFonts w:asciiTheme="majorHAnsi" w:hAnsiTheme="majorHAnsi"/>
          <w:sz w:val="24"/>
          <w:szCs w:val="24"/>
        </w:rPr>
        <w:t>data showed persona</w:t>
      </w:r>
      <w:r w:rsidRPr="00487EB8">
        <w:rPr>
          <w:rStyle w:val="st"/>
          <w:rFonts w:asciiTheme="majorHAnsi" w:hAnsiTheme="majorHAnsi"/>
          <w:sz w:val="24"/>
          <w:szCs w:val="24"/>
        </w:rPr>
        <w:t xml:space="preserve">l spending </w:t>
      </w:r>
      <w:r w:rsidRPr="00487EB8">
        <w:rPr>
          <w:rStyle w:val="st"/>
          <w:rFonts w:asciiTheme="majorHAnsi" w:hAnsiTheme="majorHAnsi"/>
          <w:sz w:val="24"/>
          <w:szCs w:val="24"/>
        </w:rPr>
        <w:t>up</w:t>
      </w:r>
      <w:r w:rsidRPr="00487EB8">
        <w:rPr>
          <w:rStyle w:val="st"/>
          <w:rFonts w:asciiTheme="majorHAnsi" w:hAnsiTheme="majorHAnsi"/>
          <w:sz w:val="24"/>
          <w:szCs w:val="24"/>
        </w:rPr>
        <w:t xml:space="preserve"> 0.4%</w:t>
      </w:r>
      <w:r w:rsidRPr="00487EB8">
        <w:rPr>
          <w:rStyle w:val="st"/>
          <w:rFonts w:asciiTheme="majorHAnsi" w:hAnsiTheme="majorHAnsi"/>
          <w:sz w:val="24"/>
          <w:szCs w:val="24"/>
        </w:rPr>
        <w:t xml:space="preserve"> </w:t>
      </w:r>
      <w:r w:rsidRPr="00487EB8">
        <w:rPr>
          <w:rStyle w:val="st"/>
          <w:rFonts w:asciiTheme="majorHAnsi" w:hAnsiTheme="majorHAnsi"/>
          <w:sz w:val="24"/>
          <w:szCs w:val="24"/>
        </w:rPr>
        <w:t>in October</w:t>
      </w:r>
      <w:r>
        <w:rPr>
          <w:rStyle w:val="st"/>
          <w:rFonts w:asciiTheme="majorHAnsi" w:hAnsiTheme="majorHAnsi"/>
          <w:sz w:val="24"/>
          <w:szCs w:val="24"/>
        </w:rPr>
        <w:t xml:space="preserve"> and retail sales advancing a decent 0.2%</w:t>
      </w:r>
      <w:r w:rsidRPr="00487EB8">
        <w:rPr>
          <w:rStyle w:val="st"/>
          <w:rFonts w:asciiTheme="majorHAnsi" w:hAnsiTheme="majorHAnsi"/>
          <w:sz w:val="24"/>
          <w:szCs w:val="24"/>
        </w:rPr>
        <w:t>.</w:t>
      </w:r>
      <w:r w:rsidRPr="00487EB8">
        <w:rPr>
          <w:rStyle w:val="st"/>
          <w:rFonts w:asciiTheme="majorHAnsi" w:hAnsiTheme="majorHAnsi"/>
          <w:sz w:val="24"/>
          <w:szCs w:val="24"/>
        </w:rPr>
        <w:t xml:space="preserve"> </w:t>
      </w:r>
      <w:r w:rsidRPr="007A574C">
        <w:rPr>
          <w:rStyle w:val="st"/>
          <w:rFonts w:asciiTheme="majorHAnsi" w:hAnsiTheme="majorHAnsi"/>
          <w:sz w:val="24"/>
          <w:szCs w:val="24"/>
        </w:rPr>
        <w:t>Consumer confidence remained high</w:t>
      </w:r>
      <w:r w:rsidRPr="007A574C">
        <w:rPr>
          <w:rStyle w:val="st"/>
          <w:rFonts w:asciiTheme="majorHAnsi" w:hAnsiTheme="majorHAnsi"/>
          <w:sz w:val="24"/>
          <w:szCs w:val="24"/>
        </w:rPr>
        <w:t>.</w:t>
      </w:r>
      <w:r w:rsidRPr="007A574C">
        <w:rPr>
          <w:rStyle w:val="st"/>
          <w:rFonts w:asciiTheme="majorHAnsi" w:hAnsiTheme="majorHAnsi"/>
          <w:sz w:val="24"/>
          <w:szCs w:val="24"/>
        </w:rPr>
        <w:t xml:space="preserve"> </w:t>
      </w:r>
      <w:r w:rsidRPr="007A574C">
        <w:rPr>
          <w:rStyle w:val="st"/>
          <w:rFonts w:asciiTheme="majorHAnsi" w:hAnsiTheme="majorHAnsi"/>
          <w:sz w:val="24"/>
          <w:szCs w:val="24"/>
        </w:rPr>
        <w:t>T</w:t>
      </w:r>
      <w:r w:rsidRPr="007A574C">
        <w:rPr>
          <w:rStyle w:val="st"/>
          <w:rFonts w:asciiTheme="majorHAnsi" w:hAnsiTheme="majorHAnsi"/>
          <w:sz w:val="24"/>
          <w:szCs w:val="24"/>
        </w:rPr>
        <w:t xml:space="preserve">he University of Michigan’s index finished December at 98.3, higher than its final </w:t>
      </w:r>
      <w:r w:rsidRPr="007A574C">
        <w:rPr>
          <w:rStyle w:val="st"/>
          <w:rFonts w:asciiTheme="majorHAnsi" w:hAnsiTheme="majorHAnsi"/>
          <w:sz w:val="24"/>
          <w:szCs w:val="24"/>
        </w:rPr>
        <w:t>November mark of 97.5</w:t>
      </w:r>
      <w:r w:rsidRPr="007A574C">
        <w:rPr>
          <w:rStyle w:val="st"/>
          <w:rFonts w:asciiTheme="majorHAnsi" w:hAnsiTheme="majorHAnsi"/>
          <w:sz w:val="24"/>
          <w:szCs w:val="24"/>
        </w:rPr>
        <w:t>.</w:t>
      </w:r>
      <w:r w:rsidRPr="007A574C">
        <w:rPr>
          <w:rStyle w:val="st"/>
          <w:rFonts w:asciiTheme="majorHAnsi" w:hAnsiTheme="majorHAnsi"/>
          <w:sz w:val="24"/>
          <w:szCs w:val="24"/>
        </w:rPr>
        <w:t xml:space="preserve"> </w:t>
      </w:r>
      <w:r w:rsidRPr="007A574C">
        <w:rPr>
          <w:rStyle w:val="st"/>
          <w:rFonts w:asciiTheme="majorHAnsi" w:hAnsiTheme="majorHAnsi"/>
          <w:sz w:val="24"/>
          <w:szCs w:val="24"/>
        </w:rPr>
        <w:t>T</w:t>
      </w:r>
      <w:r w:rsidRPr="007A574C">
        <w:rPr>
          <w:rStyle w:val="st"/>
          <w:rFonts w:asciiTheme="majorHAnsi" w:hAnsiTheme="majorHAnsi"/>
          <w:sz w:val="24"/>
          <w:szCs w:val="24"/>
        </w:rPr>
        <w:t>he Conference Board’s monthly gauge came in at 1</w:t>
      </w:r>
      <w:r w:rsidRPr="007A574C">
        <w:rPr>
          <w:rStyle w:val="st"/>
          <w:rFonts w:asciiTheme="majorHAnsi" w:hAnsiTheme="majorHAnsi"/>
          <w:sz w:val="24"/>
          <w:szCs w:val="24"/>
        </w:rPr>
        <w:t>28.1</w:t>
      </w:r>
      <w:r w:rsidRPr="007A574C">
        <w:rPr>
          <w:rStyle w:val="st"/>
          <w:rFonts w:asciiTheme="majorHAnsi" w:hAnsiTheme="majorHAnsi"/>
          <w:sz w:val="24"/>
          <w:szCs w:val="24"/>
        </w:rPr>
        <w:t xml:space="preserve"> –</w:t>
      </w:r>
      <w:r w:rsidRPr="007A574C">
        <w:rPr>
          <w:rStyle w:val="st"/>
          <w:rFonts w:asciiTheme="majorHAnsi" w:hAnsiTheme="majorHAnsi"/>
          <w:sz w:val="24"/>
          <w:szCs w:val="24"/>
        </w:rPr>
        <w:t xml:space="preserve"> </w:t>
      </w:r>
      <w:r w:rsidRPr="007A574C">
        <w:rPr>
          <w:rStyle w:val="st"/>
          <w:rFonts w:asciiTheme="majorHAnsi" w:hAnsiTheme="majorHAnsi"/>
          <w:sz w:val="24"/>
          <w:szCs w:val="24"/>
        </w:rPr>
        <w:t>notably below</w:t>
      </w:r>
      <w:r w:rsidRPr="007A574C">
        <w:rPr>
          <w:rStyle w:val="st"/>
          <w:rFonts w:asciiTheme="majorHAnsi" w:hAnsiTheme="majorHAnsi"/>
          <w:sz w:val="24"/>
          <w:szCs w:val="24"/>
        </w:rPr>
        <w:t xml:space="preserve"> its </w:t>
      </w:r>
      <w:r w:rsidRPr="007A574C">
        <w:rPr>
          <w:rStyle w:val="st"/>
          <w:rFonts w:asciiTheme="majorHAnsi" w:hAnsiTheme="majorHAnsi"/>
          <w:sz w:val="24"/>
          <w:szCs w:val="24"/>
        </w:rPr>
        <w:t xml:space="preserve">(revised) </w:t>
      </w:r>
      <w:r w:rsidRPr="007A574C">
        <w:rPr>
          <w:rStyle w:val="st"/>
          <w:rFonts w:asciiTheme="majorHAnsi" w:hAnsiTheme="majorHAnsi"/>
          <w:sz w:val="24"/>
          <w:szCs w:val="24"/>
        </w:rPr>
        <w:t>November reading of 13</w:t>
      </w:r>
      <w:r w:rsidRPr="007A574C">
        <w:rPr>
          <w:rStyle w:val="st"/>
          <w:rFonts w:asciiTheme="majorHAnsi" w:hAnsiTheme="majorHAnsi"/>
          <w:sz w:val="24"/>
          <w:szCs w:val="24"/>
        </w:rPr>
        <w:t>6</w:t>
      </w:r>
      <w:r w:rsidRPr="007A574C">
        <w:rPr>
          <w:rStyle w:val="st"/>
          <w:rFonts w:asciiTheme="majorHAnsi" w:hAnsiTheme="majorHAnsi"/>
          <w:sz w:val="24"/>
          <w:szCs w:val="24"/>
        </w:rPr>
        <w:t>.</w:t>
      </w:r>
      <w:r w:rsidRPr="007A574C">
        <w:rPr>
          <w:rStyle w:val="st"/>
          <w:rFonts w:asciiTheme="majorHAnsi" w:hAnsiTheme="majorHAnsi"/>
          <w:sz w:val="24"/>
          <w:szCs w:val="24"/>
        </w:rPr>
        <w:t>4</w:t>
      </w:r>
      <w:r w:rsidRPr="007A574C">
        <w:rPr>
          <w:rStyle w:val="st"/>
          <w:rFonts w:asciiTheme="majorHAnsi" w:hAnsiTheme="majorHAnsi"/>
          <w:sz w:val="24"/>
          <w:szCs w:val="24"/>
        </w:rPr>
        <w:t>,</w:t>
      </w:r>
      <w:r w:rsidRPr="007A574C">
        <w:rPr>
          <w:rStyle w:val="st"/>
          <w:rFonts w:asciiTheme="majorHAnsi" w:hAnsiTheme="majorHAnsi"/>
          <w:sz w:val="24"/>
          <w:szCs w:val="24"/>
        </w:rPr>
        <w:t xml:space="preserve"> but still</w:t>
      </w:r>
      <w:r w:rsidRPr="007A574C">
        <w:rPr>
          <w:rStyle w:val="st"/>
          <w:rFonts w:asciiTheme="majorHAnsi" w:hAnsiTheme="majorHAnsi"/>
          <w:sz w:val="24"/>
          <w:szCs w:val="24"/>
        </w:rPr>
        <w:t xml:space="preserve"> at an</w:t>
      </w:r>
      <w:r w:rsidRPr="007A574C">
        <w:rPr>
          <w:rStyle w:val="st"/>
          <w:rFonts w:asciiTheme="majorHAnsi" w:hAnsiTheme="majorHAnsi"/>
          <w:sz w:val="24"/>
          <w:szCs w:val="24"/>
        </w:rPr>
        <w:t xml:space="preserve"> impressive</w:t>
      </w:r>
      <w:r w:rsidRPr="007A574C">
        <w:rPr>
          <w:rStyle w:val="st"/>
          <w:rFonts w:asciiTheme="majorHAnsi" w:hAnsiTheme="majorHAnsi"/>
          <w:sz w:val="24"/>
          <w:szCs w:val="24"/>
        </w:rPr>
        <w:t xml:space="preserve"> level</w:t>
      </w:r>
      <w:r w:rsidRPr="007A574C">
        <w:rPr>
          <w:rStyle w:val="st"/>
          <w:rFonts w:asciiTheme="majorHAnsi" w:hAnsiTheme="majorHAnsi"/>
          <w:sz w:val="24"/>
          <w:szCs w:val="24"/>
        </w:rPr>
        <w:t>.</w:t>
      </w:r>
      <w:r w:rsidRPr="007A574C">
        <w:rPr>
          <w:rStyle w:val="st"/>
          <w:rFonts w:asciiTheme="majorHAnsi" w:hAnsiTheme="majorHAnsi"/>
          <w:sz w:val="24"/>
          <w:szCs w:val="24"/>
          <w:vertAlign w:val="superscript"/>
        </w:rPr>
        <w:t>3,4</w:t>
      </w:r>
    </w:p>
    <w:p w:rsidR="006B091E" w:rsidRPr="007A574C" w:rsidRDefault="00AA1FA2" w:rsidP="00946B0D">
      <w:pPr>
        <w:spacing w:line="276" w:lineRule="auto"/>
        <w:jc w:val="both"/>
        <w:rPr>
          <w:rStyle w:val="st"/>
          <w:rFonts w:asciiTheme="majorHAnsi" w:hAnsiTheme="majorHAnsi"/>
          <w:sz w:val="24"/>
          <w:szCs w:val="24"/>
        </w:rPr>
      </w:pPr>
      <w:r w:rsidRPr="007A574C">
        <w:rPr>
          <w:rStyle w:val="st"/>
          <w:rFonts w:asciiTheme="majorHAnsi" w:hAnsiTheme="majorHAnsi"/>
          <w:sz w:val="24"/>
          <w:szCs w:val="24"/>
        </w:rPr>
        <w:t>The Consumer Price Index</w:t>
      </w:r>
      <w:r w:rsidRPr="007A574C">
        <w:rPr>
          <w:rStyle w:val="st"/>
          <w:rFonts w:asciiTheme="majorHAnsi" w:hAnsiTheme="majorHAnsi"/>
          <w:sz w:val="24"/>
          <w:szCs w:val="24"/>
        </w:rPr>
        <w:t xml:space="preserve"> </w:t>
      </w:r>
      <w:r w:rsidRPr="007A574C">
        <w:rPr>
          <w:rStyle w:val="st"/>
          <w:rFonts w:asciiTheme="majorHAnsi" w:hAnsiTheme="majorHAnsi"/>
          <w:sz w:val="24"/>
          <w:szCs w:val="24"/>
        </w:rPr>
        <w:t>was flat</w:t>
      </w:r>
      <w:r w:rsidRPr="007A574C">
        <w:rPr>
          <w:rStyle w:val="st"/>
          <w:rFonts w:asciiTheme="majorHAnsi" w:hAnsiTheme="majorHAnsi"/>
          <w:sz w:val="24"/>
          <w:szCs w:val="24"/>
        </w:rPr>
        <w:t xml:space="preserve"> in November</w:t>
      </w:r>
      <w:r w:rsidRPr="007A574C">
        <w:rPr>
          <w:rStyle w:val="st"/>
          <w:rFonts w:asciiTheme="majorHAnsi" w:hAnsiTheme="majorHAnsi"/>
          <w:sz w:val="24"/>
          <w:szCs w:val="24"/>
        </w:rPr>
        <w:t>.</w:t>
      </w:r>
      <w:r w:rsidRPr="007A574C">
        <w:rPr>
          <w:rStyle w:val="st"/>
          <w:rFonts w:asciiTheme="majorHAnsi" w:hAnsiTheme="majorHAnsi"/>
          <w:sz w:val="24"/>
          <w:szCs w:val="24"/>
        </w:rPr>
        <w:t xml:space="preserve"> The main reason? Cheaper fuel.</w:t>
      </w:r>
      <w:r w:rsidRPr="007A574C">
        <w:rPr>
          <w:rStyle w:val="st"/>
          <w:rFonts w:asciiTheme="majorHAnsi" w:hAnsiTheme="majorHAnsi"/>
          <w:sz w:val="24"/>
          <w:szCs w:val="24"/>
        </w:rPr>
        <w:t xml:space="preserve"> Gasoline prices dropped 4.2%. Annualized inflation weakened to 2.2%, the smallest advance seen since February. Wholesale inflation, as measured by the Producer Price Index, ticked north 0.1%; in October, the gain was 0.6%.</w:t>
      </w:r>
      <w:r w:rsidRPr="007A574C">
        <w:rPr>
          <w:rStyle w:val="st"/>
          <w:rFonts w:asciiTheme="majorHAnsi" w:hAnsiTheme="majorHAnsi"/>
          <w:sz w:val="24"/>
          <w:szCs w:val="24"/>
        </w:rPr>
        <w:t xml:space="preserve"> </w:t>
      </w:r>
      <w:r w:rsidRPr="007A574C">
        <w:rPr>
          <w:rStyle w:val="st"/>
          <w:rFonts w:asciiTheme="majorHAnsi" w:hAnsiTheme="majorHAnsi"/>
          <w:sz w:val="24"/>
          <w:szCs w:val="24"/>
          <w:vertAlign w:val="superscript"/>
        </w:rPr>
        <w:t>4</w:t>
      </w:r>
      <w:r w:rsidRPr="007A574C">
        <w:rPr>
          <w:rStyle w:val="st"/>
          <w:rFonts w:asciiTheme="majorHAnsi" w:hAnsiTheme="majorHAnsi"/>
          <w:sz w:val="24"/>
          <w:szCs w:val="24"/>
          <w:vertAlign w:val="superscript"/>
        </w:rPr>
        <w:t>,5</w:t>
      </w:r>
    </w:p>
    <w:p w:rsidR="00775662" w:rsidRPr="00A72CE9" w:rsidRDefault="00AA1FA2" w:rsidP="00946B0D">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Job creation did fall short of </w:t>
      </w:r>
      <w:r w:rsidRPr="00C7362B">
        <w:rPr>
          <w:rStyle w:val="st"/>
          <w:rFonts w:asciiTheme="majorHAnsi" w:hAnsiTheme="majorHAnsi"/>
          <w:sz w:val="24"/>
          <w:szCs w:val="24"/>
        </w:rPr>
        <w:t xml:space="preserve">expectations in the eleventh month of the year. </w:t>
      </w:r>
      <w:r w:rsidRPr="00C7362B">
        <w:rPr>
          <w:rStyle w:val="st"/>
          <w:rFonts w:asciiTheme="majorHAnsi" w:hAnsiTheme="majorHAnsi"/>
          <w:sz w:val="24"/>
          <w:szCs w:val="24"/>
        </w:rPr>
        <w:t>Employers added 155,000 net new workers to their payrolls in November</w:t>
      </w:r>
      <w:r w:rsidRPr="00C7362B">
        <w:rPr>
          <w:rStyle w:val="st"/>
          <w:rFonts w:asciiTheme="majorHAnsi" w:hAnsiTheme="majorHAnsi"/>
          <w:sz w:val="24"/>
          <w:szCs w:val="24"/>
        </w:rPr>
        <w:t>, the Department of Labor stated</w:t>
      </w:r>
      <w:r>
        <w:rPr>
          <w:rStyle w:val="st"/>
          <w:rFonts w:asciiTheme="majorHAnsi" w:hAnsiTheme="majorHAnsi"/>
          <w:sz w:val="24"/>
          <w:szCs w:val="24"/>
        </w:rPr>
        <w:t>, and</w:t>
      </w:r>
      <w:r w:rsidRPr="00C7362B">
        <w:rPr>
          <w:rStyle w:val="st"/>
          <w:rFonts w:asciiTheme="majorHAnsi" w:hAnsiTheme="majorHAnsi"/>
          <w:sz w:val="24"/>
          <w:szCs w:val="24"/>
        </w:rPr>
        <w:t xml:space="preserve"> the October increase was revised</w:t>
      </w:r>
      <w:r w:rsidRPr="00C7362B">
        <w:rPr>
          <w:rStyle w:val="st"/>
          <w:rFonts w:asciiTheme="majorHAnsi" w:hAnsiTheme="majorHAnsi"/>
          <w:sz w:val="24"/>
          <w:szCs w:val="24"/>
        </w:rPr>
        <w:t xml:space="preserve"> down</w:t>
      </w:r>
      <w:r w:rsidRPr="00C7362B">
        <w:rPr>
          <w:rStyle w:val="st"/>
          <w:rFonts w:asciiTheme="majorHAnsi" w:hAnsiTheme="majorHAnsi"/>
          <w:sz w:val="24"/>
          <w:szCs w:val="24"/>
        </w:rPr>
        <w:t xml:space="preserve"> to 237,000. </w:t>
      </w:r>
      <w:r w:rsidRPr="00C7362B">
        <w:rPr>
          <w:rStyle w:val="st"/>
          <w:rFonts w:asciiTheme="majorHAnsi" w:hAnsiTheme="majorHAnsi"/>
          <w:sz w:val="24"/>
          <w:szCs w:val="24"/>
        </w:rPr>
        <w:t>A Bloomberg surve</w:t>
      </w:r>
      <w:r w:rsidRPr="00C7362B">
        <w:rPr>
          <w:rStyle w:val="st"/>
          <w:rFonts w:asciiTheme="majorHAnsi" w:hAnsiTheme="majorHAnsi"/>
          <w:sz w:val="24"/>
          <w:szCs w:val="24"/>
        </w:rPr>
        <w:t>y of analysts</w:t>
      </w:r>
      <w:r w:rsidRPr="00C7362B">
        <w:rPr>
          <w:rStyle w:val="st"/>
          <w:rFonts w:asciiTheme="majorHAnsi" w:hAnsiTheme="majorHAnsi"/>
          <w:sz w:val="24"/>
          <w:szCs w:val="24"/>
        </w:rPr>
        <w:t xml:space="preserve"> projected a November jobs gain of 198,000.</w:t>
      </w:r>
      <w:r w:rsidRPr="00C7362B">
        <w:rPr>
          <w:rStyle w:val="st"/>
          <w:rFonts w:asciiTheme="majorHAnsi" w:hAnsiTheme="majorHAnsi"/>
          <w:sz w:val="24"/>
          <w:szCs w:val="24"/>
        </w:rPr>
        <w:t xml:space="preserve"> </w:t>
      </w:r>
      <w:r w:rsidRPr="00A72CE9">
        <w:rPr>
          <w:rStyle w:val="st"/>
          <w:rFonts w:asciiTheme="majorHAnsi" w:hAnsiTheme="majorHAnsi"/>
          <w:sz w:val="24"/>
          <w:szCs w:val="24"/>
        </w:rPr>
        <w:t xml:space="preserve">Headline unemployment </w:t>
      </w:r>
      <w:r>
        <w:rPr>
          <w:rStyle w:val="st"/>
          <w:rFonts w:asciiTheme="majorHAnsi" w:hAnsiTheme="majorHAnsi"/>
          <w:sz w:val="24"/>
          <w:szCs w:val="24"/>
        </w:rPr>
        <w:t>stayed</w:t>
      </w:r>
      <w:r w:rsidRPr="00A72CE9">
        <w:rPr>
          <w:rStyle w:val="st"/>
          <w:rFonts w:asciiTheme="majorHAnsi" w:hAnsiTheme="majorHAnsi"/>
          <w:sz w:val="24"/>
          <w:szCs w:val="24"/>
        </w:rPr>
        <w:t xml:space="preserve"> remarkably low, just 3.7%; the U-6 rate, which also counts the underemployed, rose 0.2% to 7.6%</w:t>
      </w:r>
      <w:r w:rsidRPr="00A72CE9">
        <w:rPr>
          <w:rStyle w:val="st"/>
          <w:rFonts w:asciiTheme="majorHAnsi" w:hAnsiTheme="majorHAnsi"/>
          <w:sz w:val="24"/>
          <w:szCs w:val="24"/>
        </w:rPr>
        <w:t>.</w:t>
      </w:r>
      <w:r w:rsidRPr="00A72CE9">
        <w:rPr>
          <w:rStyle w:val="st"/>
          <w:rFonts w:asciiTheme="majorHAnsi" w:hAnsiTheme="majorHAnsi"/>
          <w:sz w:val="24"/>
          <w:szCs w:val="24"/>
        </w:rPr>
        <w:t xml:space="preserve"> Annualized wage growth </w:t>
      </w:r>
      <w:r w:rsidRPr="00A72CE9">
        <w:rPr>
          <w:rStyle w:val="st"/>
          <w:rFonts w:asciiTheme="majorHAnsi" w:hAnsiTheme="majorHAnsi"/>
          <w:sz w:val="24"/>
          <w:szCs w:val="24"/>
        </w:rPr>
        <w:t>remained</w:t>
      </w:r>
      <w:r w:rsidRPr="00A72CE9">
        <w:rPr>
          <w:rStyle w:val="st"/>
          <w:rFonts w:asciiTheme="majorHAnsi" w:hAnsiTheme="majorHAnsi"/>
          <w:sz w:val="24"/>
          <w:szCs w:val="24"/>
        </w:rPr>
        <w:t xml:space="preserve"> at 3.</w:t>
      </w:r>
      <w:r w:rsidRPr="00A72CE9">
        <w:rPr>
          <w:rStyle w:val="st"/>
          <w:rFonts w:asciiTheme="majorHAnsi" w:hAnsiTheme="majorHAnsi"/>
          <w:sz w:val="24"/>
          <w:szCs w:val="24"/>
        </w:rPr>
        <w:t>1</w:t>
      </w:r>
      <w:r w:rsidRPr="00A72CE9">
        <w:rPr>
          <w:rStyle w:val="st"/>
          <w:rFonts w:asciiTheme="majorHAnsi" w:hAnsiTheme="majorHAnsi"/>
          <w:sz w:val="24"/>
          <w:szCs w:val="24"/>
        </w:rPr>
        <w:t>%. Average net monthly payroll growth for the September-November period was 170,000.</w:t>
      </w:r>
      <w:r w:rsidRPr="00A72CE9">
        <w:rPr>
          <w:rStyle w:val="st"/>
          <w:rFonts w:asciiTheme="majorHAnsi" w:hAnsiTheme="majorHAnsi"/>
          <w:sz w:val="24"/>
          <w:szCs w:val="24"/>
          <w:vertAlign w:val="superscript"/>
        </w:rPr>
        <w:t>4</w:t>
      </w:r>
      <w:r w:rsidRPr="00A72CE9">
        <w:rPr>
          <w:rStyle w:val="st"/>
          <w:rFonts w:asciiTheme="majorHAnsi" w:hAnsiTheme="majorHAnsi"/>
          <w:sz w:val="24"/>
          <w:szCs w:val="24"/>
          <w:vertAlign w:val="superscript"/>
        </w:rPr>
        <w:t>,6</w:t>
      </w:r>
    </w:p>
    <w:p w:rsidR="00D27FD5" w:rsidRPr="00A72CE9" w:rsidRDefault="00AA1FA2" w:rsidP="001C0B73">
      <w:pPr>
        <w:spacing w:line="276" w:lineRule="auto"/>
        <w:jc w:val="both"/>
        <w:rPr>
          <w:rStyle w:val="st"/>
          <w:rFonts w:asciiTheme="majorHAnsi" w:hAnsiTheme="majorHAnsi"/>
          <w:sz w:val="24"/>
          <w:szCs w:val="24"/>
        </w:rPr>
      </w:pPr>
      <w:r>
        <w:rPr>
          <w:rStyle w:val="st"/>
          <w:rFonts w:asciiTheme="majorHAnsi" w:hAnsiTheme="majorHAnsi"/>
          <w:sz w:val="24"/>
          <w:szCs w:val="24"/>
        </w:rPr>
        <w:t>By December</w:t>
      </w:r>
      <w:r w:rsidRPr="00A72CE9">
        <w:rPr>
          <w:rStyle w:val="st"/>
          <w:rFonts w:asciiTheme="majorHAnsi" w:hAnsiTheme="majorHAnsi"/>
          <w:sz w:val="24"/>
          <w:szCs w:val="24"/>
        </w:rPr>
        <w:t>, the ongoing U.S.-Ch</w:t>
      </w:r>
      <w:r w:rsidRPr="00A72CE9">
        <w:rPr>
          <w:rStyle w:val="st"/>
          <w:rFonts w:asciiTheme="majorHAnsi" w:hAnsiTheme="majorHAnsi"/>
          <w:sz w:val="24"/>
          <w:szCs w:val="24"/>
        </w:rPr>
        <w:t xml:space="preserve">ina trade dispute </w:t>
      </w:r>
      <w:r>
        <w:rPr>
          <w:rStyle w:val="st"/>
          <w:rFonts w:asciiTheme="majorHAnsi" w:hAnsiTheme="majorHAnsi"/>
          <w:sz w:val="24"/>
          <w:szCs w:val="24"/>
        </w:rPr>
        <w:t xml:space="preserve">had </w:t>
      </w:r>
      <w:r w:rsidRPr="00A72CE9">
        <w:rPr>
          <w:rStyle w:val="st"/>
          <w:rFonts w:asciiTheme="majorHAnsi" w:hAnsiTheme="majorHAnsi"/>
          <w:sz w:val="24"/>
          <w:szCs w:val="24"/>
        </w:rPr>
        <w:t>cooled a bit</w:t>
      </w:r>
      <w:r>
        <w:rPr>
          <w:rStyle w:val="st"/>
          <w:rFonts w:asciiTheme="majorHAnsi" w:hAnsiTheme="majorHAnsi"/>
          <w:sz w:val="24"/>
          <w:szCs w:val="24"/>
        </w:rPr>
        <w:t>, with negotiations continuing</w:t>
      </w:r>
      <w:r w:rsidRPr="00A72CE9">
        <w:rPr>
          <w:rStyle w:val="st"/>
          <w:rFonts w:asciiTheme="majorHAnsi" w:hAnsiTheme="majorHAnsi"/>
          <w:sz w:val="24"/>
          <w:szCs w:val="24"/>
        </w:rPr>
        <w:t xml:space="preserve">. December 1 marked the start of a 90-day </w:t>
      </w:r>
      <w:r w:rsidRPr="00A72CE9">
        <w:rPr>
          <w:rStyle w:val="st"/>
          <w:rFonts w:asciiTheme="majorHAnsi" w:hAnsiTheme="majorHAnsi"/>
          <w:sz w:val="24"/>
          <w:szCs w:val="24"/>
        </w:rPr>
        <w:t>“ceasefire</w:t>
      </w:r>
      <w:r w:rsidRPr="00A72CE9">
        <w:rPr>
          <w:rStyle w:val="st"/>
          <w:rFonts w:asciiTheme="majorHAnsi" w:hAnsiTheme="majorHAnsi"/>
          <w:sz w:val="24"/>
          <w:szCs w:val="24"/>
        </w:rPr>
        <w:t>,</w:t>
      </w:r>
      <w:r w:rsidRPr="00A72CE9">
        <w:rPr>
          <w:rStyle w:val="st"/>
          <w:rFonts w:asciiTheme="majorHAnsi" w:hAnsiTheme="majorHAnsi"/>
          <w:sz w:val="24"/>
          <w:szCs w:val="24"/>
        </w:rPr>
        <w:t>”</w:t>
      </w:r>
      <w:r w:rsidRPr="00A72CE9">
        <w:rPr>
          <w:rStyle w:val="st"/>
          <w:rFonts w:asciiTheme="majorHAnsi" w:hAnsiTheme="majorHAnsi"/>
          <w:sz w:val="24"/>
          <w:szCs w:val="24"/>
        </w:rPr>
        <w:t xml:space="preserve"> with both nations agreeing not to impose additional import taxes until </w:t>
      </w:r>
      <w:r>
        <w:rPr>
          <w:rStyle w:val="st"/>
          <w:rFonts w:asciiTheme="majorHAnsi" w:hAnsiTheme="majorHAnsi"/>
          <w:sz w:val="24"/>
          <w:szCs w:val="24"/>
        </w:rPr>
        <w:t xml:space="preserve">late in the first quarter of </w:t>
      </w:r>
      <w:r w:rsidRPr="00A72CE9">
        <w:rPr>
          <w:rStyle w:val="st"/>
          <w:rFonts w:asciiTheme="majorHAnsi" w:hAnsiTheme="majorHAnsi"/>
          <w:sz w:val="24"/>
          <w:szCs w:val="24"/>
        </w:rPr>
        <w:t>2019. China actually scaled</w:t>
      </w:r>
      <w:r w:rsidRPr="00A72CE9">
        <w:rPr>
          <w:rStyle w:val="st"/>
          <w:rFonts w:asciiTheme="majorHAnsi" w:hAnsiTheme="majorHAnsi"/>
          <w:sz w:val="24"/>
          <w:szCs w:val="24"/>
        </w:rPr>
        <w:t xml:space="preserve"> back some tariffs as the year ended; the U.S. was set to boost tariffs on </w:t>
      </w:r>
      <w:r>
        <w:rPr>
          <w:rStyle w:val="st"/>
          <w:rFonts w:asciiTheme="majorHAnsi" w:hAnsiTheme="majorHAnsi"/>
          <w:sz w:val="24"/>
          <w:szCs w:val="24"/>
        </w:rPr>
        <w:t>as much as</w:t>
      </w:r>
      <w:r w:rsidRPr="00A72CE9">
        <w:rPr>
          <w:rStyle w:val="st"/>
          <w:rFonts w:asciiTheme="majorHAnsi" w:hAnsiTheme="majorHAnsi"/>
          <w:sz w:val="24"/>
          <w:szCs w:val="24"/>
        </w:rPr>
        <w:t xml:space="preserve"> $200 billion of Chinese goods effective this month.</w:t>
      </w:r>
      <w:r w:rsidRPr="00A72CE9">
        <w:rPr>
          <w:rStyle w:val="st"/>
          <w:rFonts w:asciiTheme="majorHAnsi" w:hAnsiTheme="majorHAnsi"/>
          <w:sz w:val="24"/>
          <w:szCs w:val="24"/>
          <w:vertAlign w:val="superscript"/>
        </w:rPr>
        <w:t>7</w:t>
      </w:r>
    </w:p>
    <w:p w:rsidR="00F87886" w:rsidRPr="00A72CE9" w:rsidRDefault="00AA1FA2" w:rsidP="00F87886">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Lastly, the end of </w:t>
      </w:r>
      <w:r>
        <w:rPr>
          <w:rStyle w:val="st"/>
          <w:rFonts w:asciiTheme="majorHAnsi" w:hAnsiTheme="majorHAnsi"/>
          <w:sz w:val="24"/>
          <w:szCs w:val="24"/>
        </w:rPr>
        <w:t>2018</w:t>
      </w:r>
      <w:r>
        <w:rPr>
          <w:rStyle w:val="st"/>
          <w:rFonts w:asciiTheme="majorHAnsi" w:hAnsiTheme="majorHAnsi"/>
          <w:sz w:val="24"/>
          <w:szCs w:val="24"/>
        </w:rPr>
        <w:t xml:space="preserve"> was </w:t>
      </w:r>
      <w:r>
        <w:rPr>
          <w:rStyle w:val="st"/>
          <w:rFonts w:asciiTheme="majorHAnsi" w:hAnsiTheme="majorHAnsi"/>
          <w:sz w:val="24"/>
          <w:szCs w:val="24"/>
        </w:rPr>
        <w:t xml:space="preserve">very </w:t>
      </w:r>
      <w:r>
        <w:rPr>
          <w:rStyle w:val="st"/>
          <w:rFonts w:asciiTheme="majorHAnsi" w:hAnsiTheme="majorHAnsi"/>
          <w:sz w:val="24"/>
          <w:szCs w:val="24"/>
        </w:rPr>
        <w:t xml:space="preserve">good for retailers. Mastercard Pulse measured a 5.1% year-over-year increase in </w:t>
      </w:r>
      <w:r>
        <w:rPr>
          <w:rStyle w:val="st"/>
          <w:rFonts w:asciiTheme="majorHAnsi" w:hAnsiTheme="majorHAnsi"/>
          <w:sz w:val="24"/>
          <w:szCs w:val="24"/>
        </w:rPr>
        <w:t>retail purchases between November 1 and December 24, resulting more than $850 billion in purchases – the best holiday retail sales season in six years.</w:t>
      </w:r>
      <w:r>
        <w:rPr>
          <w:rStyle w:val="st"/>
          <w:rFonts w:asciiTheme="majorHAnsi" w:hAnsiTheme="majorHAnsi"/>
          <w:sz w:val="24"/>
          <w:szCs w:val="24"/>
          <w:vertAlign w:val="superscript"/>
        </w:rPr>
        <w:t>8</w:t>
      </w:r>
    </w:p>
    <w:p w:rsidR="003F06AB" w:rsidRPr="00DD38C0" w:rsidRDefault="00AA1FA2" w:rsidP="003F06AB">
      <w:pPr>
        <w:spacing w:line="276" w:lineRule="auto"/>
        <w:jc w:val="both"/>
        <w:rPr>
          <w:rFonts w:asciiTheme="majorHAnsi" w:hAnsiTheme="majorHAnsi"/>
          <w:sz w:val="6"/>
          <w:szCs w:val="24"/>
        </w:rPr>
      </w:pPr>
    </w:p>
    <w:p w:rsidR="00775662" w:rsidRPr="00775662" w:rsidRDefault="00AA1FA2"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775662" w:rsidRPr="009E1834" w:rsidRDefault="00AA1FA2" w:rsidP="00EE6BF2">
      <w:pPr>
        <w:spacing w:line="276" w:lineRule="auto"/>
        <w:jc w:val="both"/>
        <w:rPr>
          <w:rFonts w:asciiTheme="majorHAnsi" w:hAnsiTheme="majorHAnsi"/>
          <w:sz w:val="24"/>
          <w:szCs w:val="24"/>
        </w:rPr>
      </w:pPr>
      <w:r>
        <w:rPr>
          <w:rFonts w:asciiTheme="majorHAnsi" w:hAnsiTheme="majorHAnsi"/>
          <w:sz w:val="24"/>
          <w:szCs w:val="24"/>
        </w:rPr>
        <w:t>In December</w:t>
      </w:r>
      <w:r w:rsidRPr="009E1834">
        <w:rPr>
          <w:rFonts w:asciiTheme="majorHAnsi" w:hAnsiTheme="majorHAnsi"/>
          <w:sz w:val="24"/>
          <w:szCs w:val="24"/>
        </w:rPr>
        <w:t>, t</w:t>
      </w:r>
      <w:r w:rsidRPr="009E1834">
        <w:rPr>
          <w:rFonts w:asciiTheme="majorHAnsi" w:hAnsiTheme="majorHAnsi"/>
          <w:sz w:val="24"/>
          <w:szCs w:val="24"/>
        </w:rPr>
        <w:t>he United Kingdom</w:t>
      </w:r>
      <w:r w:rsidRPr="009E1834">
        <w:rPr>
          <w:rFonts w:asciiTheme="majorHAnsi" w:hAnsiTheme="majorHAnsi"/>
          <w:sz w:val="24"/>
          <w:szCs w:val="24"/>
        </w:rPr>
        <w:t xml:space="preserve"> witnessed a parliamentary deadlock over the Brexit, with Prime Minister Theresa May withdrawing a scheduled vote over her deal </w:t>
      </w:r>
      <w:r w:rsidRPr="009E1834">
        <w:rPr>
          <w:rFonts w:asciiTheme="majorHAnsi" w:hAnsiTheme="majorHAnsi"/>
          <w:sz w:val="24"/>
          <w:szCs w:val="24"/>
        </w:rPr>
        <w:t xml:space="preserve">with the European Union </w:t>
      </w:r>
      <w:r w:rsidRPr="009E1834">
        <w:rPr>
          <w:rFonts w:asciiTheme="majorHAnsi" w:hAnsiTheme="majorHAnsi"/>
          <w:sz w:val="24"/>
          <w:szCs w:val="24"/>
        </w:rPr>
        <w:t xml:space="preserve">in the face of probable </w:t>
      </w:r>
      <w:r w:rsidRPr="009E1834">
        <w:rPr>
          <w:rFonts w:asciiTheme="majorHAnsi" w:hAnsiTheme="majorHAnsi"/>
          <w:sz w:val="24"/>
          <w:szCs w:val="24"/>
        </w:rPr>
        <w:t xml:space="preserve">legislative </w:t>
      </w:r>
      <w:r w:rsidRPr="009E1834">
        <w:rPr>
          <w:rFonts w:asciiTheme="majorHAnsi" w:hAnsiTheme="majorHAnsi"/>
          <w:sz w:val="24"/>
          <w:szCs w:val="24"/>
        </w:rPr>
        <w:t>defeat</w:t>
      </w:r>
      <w:r w:rsidRPr="009E1834">
        <w:rPr>
          <w:rFonts w:asciiTheme="majorHAnsi" w:hAnsiTheme="majorHAnsi"/>
          <w:sz w:val="24"/>
          <w:szCs w:val="24"/>
        </w:rPr>
        <w:t>.</w:t>
      </w:r>
      <w:r w:rsidRPr="009E1834">
        <w:rPr>
          <w:rFonts w:asciiTheme="majorHAnsi" w:hAnsiTheme="majorHAnsi"/>
          <w:sz w:val="24"/>
          <w:szCs w:val="24"/>
        </w:rPr>
        <w:t xml:space="preserve"> In fact, as Christmas approached, there was no clear majorit</w:t>
      </w:r>
      <w:r w:rsidRPr="009E1834">
        <w:rPr>
          <w:rFonts w:asciiTheme="majorHAnsi" w:hAnsiTheme="majorHAnsi"/>
          <w:sz w:val="24"/>
          <w:szCs w:val="24"/>
        </w:rPr>
        <w:t xml:space="preserve">y in Parliament favoring any of the Brexit options: </w:t>
      </w:r>
      <w:r w:rsidRPr="009E1834">
        <w:rPr>
          <w:rFonts w:asciiTheme="majorHAnsi" w:hAnsiTheme="majorHAnsi"/>
          <w:sz w:val="24"/>
          <w:szCs w:val="24"/>
        </w:rPr>
        <w:t xml:space="preserve">May’s deal, </w:t>
      </w:r>
      <w:r w:rsidRPr="009E1834">
        <w:rPr>
          <w:rFonts w:asciiTheme="majorHAnsi" w:hAnsiTheme="majorHAnsi"/>
          <w:sz w:val="24"/>
          <w:szCs w:val="24"/>
        </w:rPr>
        <w:t>the no-deal Brexit</w:t>
      </w:r>
      <w:r w:rsidRPr="009E1834">
        <w:rPr>
          <w:rFonts w:asciiTheme="majorHAnsi" w:hAnsiTheme="majorHAnsi"/>
          <w:sz w:val="24"/>
          <w:szCs w:val="24"/>
        </w:rPr>
        <w:t xml:space="preserve"> (</w:t>
      </w:r>
      <w:r w:rsidRPr="009E1834">
        <w:rPr>
          <w:rFonts w:asciiTheme="majorHAnsi" w:hAnsiTheme="majorHAnsi"/>
          <w:sz w:val="24"/>
          <w:szCs w:val="24"/>
        </w:rPr>
        <w:t>an</w:t>
      </w:r>
      <w:r w:rsidRPr="009E1834">
        <w:rPr>
          <w:rFonts w:asciiTheme="majorHAnsi" w:hAnsiTheme="majorHAnsi"/>
          <w:sz w:val="24"/>
          <w:szCs w:val="24"/>
        </w:rPr>
        <w:t xml:space="preserve"> outcome </w:t>
      </w:r>
      <w:r w:rsidRPr="009E1834">
        <w:rPr>
          <w:rFonts w:asciiTheme="majorHAnsi" w:hAnsiTheme="majorHAnsi"/>
          <w:sz w:val="24"/>
          <w:szCs w:val="24"/>
        </w:rPr>
        <w:t>that would dismay</w:t>
      </w:r>
      <w:r w:rsidRPr="009E1834">
        <w:rPr>
          <w:rFonts w:asciiTheme="majorHAnsi" w:hAnsiTheme="majorHAnsi"/>
          <w:sz w:val="24"/>
          <w:szCs w:val="24"/>
        </w:rPr>
        <w:t xml:space="preserve"> corporations)</w:t>
      </w:r>
      <w:r w:rsidRPr="009E1834">
        <w:rPr>
          <w:rFonts w:asciiTheme="majorHAnsi" w:hAnsiTheme="majorHAnsi"/>
          <w:sz w:val="24"/>
          <w:szCs w:val="24"/>
        </w:rPr>
        <w:t>,</w:t>
      </w:r>
      <w:r w:rsidRPr="009E1834">
        <w:rPr>
          <w:rFonts w:asciiTheme="majorHAnsi" w:hAnsiTheme="majorHAnsi"/>
          <w:sz w:val="24"/>
          <w:szCs w:val="24"/>
        </w:rPr>
        <w:t xml:space="preserve"> a “managed” no-deal, or another national vote on the </w:t>
      </w:r>
      <w:r>
        <w:rPr>
          <w:rFonts w:asciiTheme="majorHAnsi" w:hAnsiTheme="majorHAnsi"/>
          <w:sz w:val="24"/>
          <w:szCs w:val="24"/>
        </w:rPr>
        <w:t>matter</w:t>
      </w:r>
      <w:r w:rsidRPr="009E1834">
        <w:rPr>
          <w:rFonts w:asciiTheme="majorHAnsi" w:hAnsiTheme="majorHAnsi"/>
          <w:sz w:val="24"/>
          <w:szCs w:val="24"/>
        </w:rPr>
        <w:t xml:space="preserve">. The U.K.’s March 29 deadline to leave the E.U. remains. </w:t>
      </w:r>
      <w:r>
        <w:rPr>
          <w:rFonts w:asciiTheme="majorHAnsi" w:hAnsiTheme="majorHAnsi"/>
          <w:sz w:val="24"/>
          <w:szCs w:val="24"/>
        </w:rPr>
        <w:t xml:space="preserve">In other </w:t>
      </w:r>
      <w:r>
        <w:rPr>
          <w:rFonts w:asciiTheme="majorHAnsi" w:hAnsiTheme="majorHAnsi"/>
          <w:sz w:val="24"/>
          <w:szCs w:val="24"/>
        </w:rPr>
        <w:t>eu</w:t>
      </w:r>
      <w:r>
        <w:rPr>
          <w:rFonts w:asciiTheme="majorHAnsi" w:hAnsiTheme="majorHAnsi"/>
          <w:sz w:val="24"/>
          <w:szCs w:val="24"/>
        </w:rPr>
        <w:t xml:space="preserve">ro area </w:t>
      </w:r>
      <w:r>
        <w:rPr>
          <w:rFonts w:asciiTheme="majorHAnsi" w:hAnsiTheme="majorHAnsi"/>
          <w:sz w:val="24"/>
          <w:szCs w:val="24"/>
        </w:rPr>
        <w:t>news, y</w:t>
      </w:r>
      <w:r w:rsidRPr="009E1834">
        <w:rPr>
          <w:rFonts w:asciiTheme="majorHAnsi" w:hAnsiTheme="majorHAnsi"/>
          <w:sz w:val="24"/>
          <w:szCs w:val="24"/>
        </w:rPr>
        <w:t xml:space="preserve">early inflation fell </w:t>
      </w:r>
      <w:r>
        <w:rPr>
          <w:rFonts w:asciiTheme="majorHAnsi" w:hAnsiTheme="majorHAnsi"/>
          <w:sz w:val="24"/>
          <w:szCs w:val="24"/>
        </w:rPr>
        <w:t xml:space="preserve">sharply </w:t>
      </w:r>
      <w:r>
        <w:rPr>
          <w:rFonts w:asciiTheme="majorHAnsi" w:hAnsiTheme="majorHAnsi"/>
          <w:sz w:val="24"/>
          <w:szCs w:val="24"/>
        </w:rPr>
        <w:t xml:space="preserve">in the region </w:t>
      </w:r>
      <w:r w:rsidRPr="009E1834">
        <w:rPr>
          <w:rFonts w:asciiTheme="majorHAnsi" w:hAnsiTheme="majorHAnsi"/>
          <w:sz w:val="24"/>
          <w:szCs w:val="24"/>
        </w:rPr>
        <w:t>to 1.9% in November, descending from 2.2% in October.</w:t>
      </w:r>
      <w:r w:rsidRPr="009E1834">
        <w:rPr>
          <w:rFonts w:asciiTheme="majorHAnsi" w:hAnsiTheme="majorHAnsi"/>
          <w:sz w:val="24"/>
          <w:szCs w:val="24"/>
          <w:vertAlign w:val="superscript"/>
        </w:rPr>
        <w:t>9</w:t>
      </w:r>
      <w:r>
        <w:rPr>
          <w:rFonts w:asciiTheme="majorHAnsi" w:hAnsiTheme="majorHAnsi"/>
          <w:sz w:val="24"/>
          <w:szCs w:val="24"/>
          <w:vertAlign w:val="superscript"/>
        </w:rPr>
        <w:t>,10</w:t>
      </w:r>
    </w:p>
    <w:p w:rsidR="00775662" w:rsidRPr="009F5651" w:rsidRDefault="00AA1FA2" w:rsidP="00A4481D">
      <w:pPr>
        <w:spacing w:line="276" w:lineRule="auto"/>
        <w:jc w:val="both"/>
        <w:rPr>
          <w:rFonts w:asciiTheme="majorHAnsi" w:hAnsiTheme="majorHAnsi"/>
          <w:color w:val="002060"/>
          <w:sz w:val="24"/>
          <w:szCs w:val="24"/>
          <w:vertAlign w:val="superscript"/>
        </w:rPr>
      </w:pPr>
      <w:r w:rsidRPr="00C9320F">
        <w:rPr>
          <w:rFonts w:asciiTheme="majorHAnsi" w:hAnsiTheme="majorHAnsi"/>
          <w:sz w:val="24"/>
          <w:szCs w:val="24"/>
        </w:rPr>
        <w:lastRenderedPageBreak/>
        <w:t xml:space="preserve">While China’s statistics bureau said </w:t>
      </w:r>
      <w:r>
        <w:rPr>
          <w:rFonts w:asciiTheme="majorHAnsi" w:hAnsiTheme="majorHAnsi"/>
          <w:sz w:val="24"/>
          <w:szCs w:val="24"/>
        </w:rPr>
        <w:t>recently</w:t>
      </w:r>
      <w:r w:rsidRPr="00C9320F">
        <w:rPr>
          <w:rFonts w:asciiTheme="majorHAnsi" w:hAnsiTheme="majorHAnsi"/>
          <w:sz w:val="24"/>
          <w:szCs w:val="24"/>
        </w:rPr>
        <w:t xml:space="preserve"> that the</w:t>
      </w:r>
      <w:r w:rsidRPr="00C9320F">
        <w:rPr>
          <w:rFonts w:asciiTheme="majorHAnsi" w:hAnsiTheme="majorHAnsi"/>
          <w:sz w:val="24"/>
          <w:szCs w:val="24"/>
        </w:rPr>
        <w:t xml:space="preserve"> </w:t>
      </w:r>
      <w:r w:rsidRPr="00C9320F">
        <w:rPr>
          <w:rFonts w:asciiTheme="majorHAnsi" w:hAnsiTheme="majorHAnsi"/>
          <w:sz w:val="24"/>
          <w:szCs w:val="24"/>
        </w:rPr>
        <w:t xml:space="preserve">country was on track to reach its 6.5% economic growth target for 2018, signs of a slowdown emerged. </w:t>
      </w:r>
      <w:r w:rsidRPr="00C9320F">
        <w:rPr>
          <w:rFonts w:asciiTheme="majorHAnsi" w:hAnsiTheme="majorHAnsi"/>
          <w:sz w:val="24"/>
          <w:szCs w:val="24"/>
        </w:rPr>
        <w:t xml:space="preserve">In </w:t>
      </w:r>
      <w:r>
        <w:rPr>
          <w:rFonts w:asciiTheme="majorHAnsi" w:hAnsiTheme="majorHAnsi"/>
          <w:sz w:val="24"/>
          <w:szCs w:val="24"/>
        </w:rPr>
        <w:t>December</w:t>
      </w:r>
      <w:r w:rsidRPr="00C9320F">
        <w:rPr>
          <w:rFonts w:asciiTheme="majorHAnsi" w:hAnsiTheme="majorHAnsi"/>
          <w:sz w:val="24"/>
          <w:szCs w:val="24"/>
        </w:rPr>
        <w:t xml:space="preserve">, </w:t>
      </w:r>
      <w:r>
        <w:rPr>
          <w:rFonts w:asciiTheme="majorHAnsi" w:hAnsiTheme="majorHAnsi"/>
          <w:sz w:val="24"/>
          <w:szCs w:val="24"/>
        </w:rPr>
        <w:t xml:space="preserve">the country’s </w:t>
      </w:r>
      <w:r w:rsidRPr="00C9320F">
        <w:rPr>
          <w:rFonts w:asciiTheme="majorHAnsi" w:hAnsiTheme="majorHAnsi"/>
          <w:sz w:val="24"/>
          <w:szCs w:val="24"/>
        </w:rPr>
        <w:t>factory output</w:t>
      </w:r>
      <w:r w:rsidRPr="00C9320F">
        <w:rPr>
          <w:rFonts w:asciiTheme="majorHAnsi" w:hAnsiTheme="majorHAnsi"/>
          <w:sz w:val="24"/>
          <w:szCs w:val="24"/>
        </w:rPr>
        <w:t xml:space="preserve"> </w:t>
      </w:r>
      <w:r>
        <w:rPr>
          <w:rFonts w:asciiTheme="majorHAnsi" w:hAnsiTheme="majorHAnsi"/>
          <w:sz w:val="24"/>
          <w:szCs w:val="24"/>
        </w:rPr>
        <w:t xml:space="preserve">contracted for the first time in nearly three years, with its official </w:t>
      </w:r>
      <w:r w:rsidRPr="002405DE">
        <w:rPr>
          <w:rFonts w:asciiTheme="majorHAnsi" w:hAnsiTheme="majorHAnsi"/>
          <w:sz w:val="24"/>
          <w:szCs w:val="24"/>
        </w:rPr>
        <w:t>manufacturing PMI</w:t>
      </w:r>
      <w:r>
        <w:rPr>
          <w:rFonts w:asciiTheme="majorHAnsi" w:hAnsiTheme="majorHAnsi"/>
          <w:sz w:val="24"/>
          <w:szCs w:val="24"/>
        </w:rPr>
        <w:t xml:space="preserve"> falling to 49.4. The </w:t>
      </w:r>
      <w:r w:rsidRPr="002405DE">
        <w:rPr>
          <w:rFonts w:asciiTheme="majorHAnsi" w:hAnsiTheme="majorHAnsi"/>
          <w:sz w:val="24"/>
          <w:szCs w:val="24"/>
        </w:rPr>
        <w:t>Nov</w:t>
      </w:r>
      <w:r w:rsidRPr="002405DE">
        <w:rPr>
          <w:rFonts w:asciiTheme="majorHAnsi" w:hAnsiTheme="majorHAnsi"/>
          <w:sz w:val="24"/>
          <w:szCs w:val="24"/>
        </w:rPr>
        <w:t xml:space="preserve">ember </w:t>
      </w:r>
      <w:r w:rsidRPr="002405DE">
        <w:rPr>
          <w:rFonts w:asciiTheme="majorHAnsi" w:hAnsiTheme="majorHAnsi"/>
          <w:sz w:val="24"/>
          <w:szCs w:val="24"/>
        </w:rPr>
        <w:t xml:space="preserve">Markit manufacturing PMIs for </w:t>
      </w:r>
      <w:r>
        <w:rPr>
          <w:rFonts w:asciiTheme="majorHAnsi" w:hAnsiTheme="majorHAnsi"/>
          <w:sz w:val="24"/>
          <w:szCs w:val="24"/>
        </w:rPr>
        <w:t>other</w:t>
      </w:r>
      <w:r w:rsidRPr="002405DE">
        <w:rPr>
          <w:rFonts w:asciiTheme="majorHAnsi" w:hAnsiTheme="majorHAnsi"/>
          <w:sz w:val="24"/>
          <w:szCs w:val="24"/>
        </w:rPr>
        <w:t xml:space="preserve"> </w:t>
      </w:r>
      <w:r>
        <w:rPr>
          <w:rFonts w:asciiTheme="majorHAnsi" w:hAnsiTheme="majorHAnsi"/>
          <w:sz w:val="24"/>
          <w:szCs w:val="24"/>
        </w:rPr>
        <w:t xml:space="preserve">key </w:t>
      </w:r>
      <w:r w:rsidRPr="002405DE">
        <w:rPr>
          <w:rFonts w:asciiTheme="majorHAnsi" w:hAnsiTheme="majorHAnsi"/>
          <w:sz w:val="24"/>
          <w:szCs w:val="24"/>
        </w:rPr>
        <w:t xml:space="preserve">Asian </w:t>
      </w:r>
      <w:r>
        <w:rPr>
          <w:rFonts w:asciiTheme="majorHAnsi" w:hAnsiTheme="majorHAnsi"/>
          <w:sz w:val="24"/>
          <w:szCs w:val="24"/>
        </w:rPr>
        <w:t>economies</w:t>
      </w:r>
      <w:r w:rsidRPr="002405DE">
        <w:rPr>
          <w:rFonts w:asciiTheme="majorHAnsi" w:hAnsiTheme="majorHAnsi"/>
          <w:sz w:val="24"/>
          <w:szCs w:val="24"/>
        </w:rPr>
        <w:t xml:space="preserve"> </w:t>
      </w:r>
      <w:r w:rsidRPr="002405DE">
        <w:rPr>
          <w:rFonts w:asciiTheme="majorHAnsi" w:hAnsiTheme="majorHAnsi"/>
          <w:sz w:val="24"/>
          <w:szCs w:val="24"/>
        </w:rPr>
        <w:t xml:space="preserve">indicated </w:t>
      </w:r>
      <w:r w:rsidRPr="002405DE">
        <w:rPr>
          <w:rFonts w:asciiTheme="majorHAnsi" w:hAnsiTheme="majorHAnsi"/>
          <w:sz w:val="24"/>
          <w:szCs w:val="24"/>
        </w:rPr>
        <w:t>either minor</w:t>
      </w:r>
      <w:r w:rsidRPr="002405DE">
        <w:rPr>
          <w:rFonts w:asciiTheme="majorHAnsi" w:hAnsiTheme="majorHAnsi"/>
          <w:sz w:val="24"/>
          <w:szCs w:val="24"/>
        </w:rPr>
        <w:t xml:space="preserve"> month-over-month factory sector expansion</w:t>
      </w:r>
      <w:r>
        <w:rPr>
          <w:rFonts w:asciiTheme="majorHAnsi" w:hAnsiTheme="majorHAnsi"/>
          <w:sz w:val="24"/>
          <w:szCs w:val="24"/>
        </w:rPr>
        <w:t xml:space="preserve"> (slightly above 50)</w:t>
      </w:r>
      <w:r w:rsidRPr="002405DE">
        <w:rPr>
          <w:rFonts w:asciiTheme="majorHAnsi" w:hAnsiTheme="majorHAnsi"/>
          <w:sz w:val="24"/>
          <w:szCs w:val="24"/>
        </w:rPr>
        <w:t xml:space="preserve"> or contraction</w:t>
      </w:r>
      <w:r>
        <w:rPr>
          <w:rFonts w:asciiTheme="majorHAnsi" w:hAnsiTheme="majorHAnsi"/>
          <w:sz w:val="24"/>
          <w:szCs w:val="24"/>
        </w:rPr>
        <w:t xml:space="preserve"> (below 50)</w:t>
      </w:r>
      <w:r w:rsidRPr="002405DE">
        <w:rPr>
          <w:rFonts w:asciiTheme="majorHAnsi" w:hAnsiTheme="majorHAnsi"/>
          <w:sz w:val="24"/>
          <w:szCs w:val="24"/>
        </w:rPr>
        <w:t>.</w:t>
      </w:r>
      <w:r w:rsidRPr="002405DE">
        <w:rPr>
          <w:rFonts w:asciiTheme="majorHAnsi" w:hAnsiTheme="majorHAnsi"/>
          <w:sz w:val="24"/>
          <w:szCs w:val="24"/>
        </w:rPr>
        <w:t xml:space="preserve"> </w:t>
      </w:r>
      <w:r>
        <w:rPr>
          <w:rFonts w:asciiTheme="majorHAnsi" w:hAnsiTheme="majorHAnsi"/>
          <w:sz w:val="24"/>
          <w:szCs w:val="24"/>
        </w:rPr>
        <w:t>Japan</w:t>
      </w:r>
      <w:r w:rsidRPr="002405DE">
        <w:rPr>
          <w:rFonts w:asciiTheme="majorHAnsi" w:hAnsiTheme="majorHAnsi"/>
          <w:sz w:val="24"/>
          <w:szCs w:val="24"/>
        </w:rPr>
        <w:t xml:space="preserve">’s Markit PMI came in at 51.8 (though it recovered to 52.4 in </w:t>
      </w:r>
      <w:r w:rsidRPr="00B91D44">
        <w:rPr>
          <w:rFonts w:asciiTheme="majorHAnsi" w:hAnsiTheme="majorHAnsi"/>
          <w:sz w:val="24"/>
          <w:szCs w:val="24"/>
        </w:rPr>
        <w:t>December); Taiw</w:t>
      </w:r>
      <w:r w:rsidRPr="00B91D44">
        <w:rPr>
          <w:rFonts w:asciiTheme="majorHAnsi" w:hAnsiTheme="majorHAnsi"/>
          <w:sz w:val="24"/>
          <w:szCs w:val="24"/>
        </w:rPr>
        <w:t>an’s, at 48.4; South Korea’s, at 48.6</w:t>
      </w:r>
      <w:r w:rsidRPr="002405DE">
        <w:rPr>
          <w:rFonts w:asciiTheme="majorHAnsi" w:hAnsiTheme="majorHAnsi"/>
          <w:sz w:val="24"/>
          <w:szCs w:val="24"/>
        </w:rPr>
        <w:t>.</w:t>
      </w:r>
      <w:r>
        <w:rPr>
          <w:rFonts w:asciiTheme="majorHAnsi" w:hAnsiTheme="majorHAnsi"/>
          <w:sz w:val="24"/>
          <w:szCs w:val="24"/>
          <w:vertAlign w:val="superscript"/>
        </w:rPr>
        <w:t>1</w:t>
      </w:r>
      <w:r w:rsidRPr="002405DE">
        <w:rPr>
          <w:rFonts w:asciiTheme="majorHAnsi" w:hAnsiTheme="majorHAnsi"/>
          <w:sz w:val="24"/>
          <w:szCs w:val="24"/>
          <w:vertAlign w:val="superscript"/>
        </w:rPr>
        <w:t>1</w:t>
      </w:r>
      <w:r>
        <w:rPr>
          <w:rFonts w:asciiTheme="majorHAnsi" w:hAnsiTheme="majorHAnsi"/>
          <w:sz w:val="24"/>
          <w:szCs w:val="24"/>
          <w:vertAlign w:val="superscript"/>
        </w:rPr>
        <w:t>,12</w:t>
      </w:r>
    </w:p>
    <w:p w:rsidR="00775662" w:rsidRPr="00DD38C0" w:rsidRDefault="00AA1FA2" w:rsidP="00EE6BF2">
      <w:pPr>
        <w:spacing w:line="276" w:lineRule="auto"/>
        <w:jc w:val="both"/>
        <w:rPr>
          <w:rFonts w:asciiTheme="majorHAnsi" w:hAnsiTheme="majorHAnsi"/>
          <w:sz w:val="6"/>
          <w:szCs w:val="24"/>
        </w:rPr>
      </w:pPr>
    </w:p>
    <w:p w:rsidR="00B87E49" w:rsidRDefault="00AA1FA2"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F10F5A" w:rsidRPr="00F10F5A" w:rsidRDefault="00AA1FA2" w:rsidP="00E35A04">
      <w:pPr>
        <w:pStyle w:val="PlainText"/>
        <w:spacing w:line="276" w:lineRule="auto"/>
        <w:jc w:val="both"/>
        <w:rPr>
          <w:rFonts w:asciiTheme="majorHAnsi" w:hAnsiTheme="majorHAnsi" w:cstheme="majorHAnsi"/>
          <w:sz w:val="24"/>
          <w:szCs w:val="24"/>
        </w:rPr>
      </w:pPr>
      <w:r w:rsidRPr="00F10F5A">
        <w:rPr>
          <w:rFonts w:asciiTheme="majorHAnsi" w:hAnsiTheme="majorHAnsi" w:cstheme="majorHAnsi"/>
          <w:sz w:val="24"/>
          <w:szCs w:val="24"/>
        </w:rPr>
        <w:t xml:space="preserve">Yes, December brought substantial losses for other major equity benchmarks – though generally speaking, the losses were smaller than the ones seen in the U.S. While the Nikkei 225 slid 10.10% last month, the </w:t>
      </w:r>
      <w:r>
        <w:rPr>
          <w:rFonts w:asciiTheme="majorHAnsi" w:hAnsiTheme="majorHAnsi" w:cstheme="majorHAnsi"/>
          <w:sz w:val="24"/>
          <w:szCs w:val="24"/>
        </w:rPr>
        <w:t>common</w:t>
      </w:r>
      <w:r w:rsidRPr="00F10F5A">
        <w:rPr>
          <w:rFonts w:asciiTheme="majorHAnsi" w:hAnsiTheme="majorHAnsi" w:cstheme="majorHAnsi"/>
          <w:sz w:val="24"/>
          <w:szCs w:val="24"/>
        </w:rPr>
        <w:t xml:space="preserve"> December loss was </w:t>
      </w:r>
      <w:r>
        <w:rPr>
          <w:rFonts w:asciiTheme="majorHAnsi" w:hAnsiTheme="majorHAnsi" w:cstheme="majorHAnsi"/>
          <w:sz w:val="24"/>
          <w:szCs w:val="24"/>
        </w:rPr>
        <w:t>single-digit</w:t>
      </w:r>
      <w:r w:rsidRPr="00F10F5A">
        <w:rPr>
          <w:rFonts w:asciiTheme="majorHAnsi" w:hAnsiTheme="majorHAnsi" w:cstheme="majorHAnsi"/>
          <w:sz w:val="24"/>
          <w:szCs w:val="24"/>
        </w:rPr>
        <w:t>: 5</w:t>
      </w:r>
      <w:r>
        <w:rPr>
          <w:rFonts w:asciiTheme="majorHAnsi" w:hAnsiTheme="majorHAnsi" w:cstheme="majorHAnsi"/>
          <w:sz w:val="24"/>
          <w:szCs w:val="24"/>
        </w:rPr>
        <w:t>.</w:t>
      </w:r>
      <w:r w:rsidRPr="00F10F5A">
        <w:rPr>
          <w:rFonts w:asciiTheme="majorHAnsi" w:hAnsiTheme="majorHAnsi" w:cstheme="majorHAnsi"/>
          <w:sz w:val="24"/>
          <w:szCs w:val="24"/>
        </w:rPr>
        <w:t>76% for</w:t>
      </w:r>
      <w:r w:rsidRPr="00F10F5A">
        <w:rPr>
          <w:rFonts w:asciiTheme="majorHAnsi" w:hAnsiTheme="majorHAnsi" w:cstheme="majorHAnsi"/>
          <w:sz w:val="24"/>
          <w:szCs w:val="24"/>
        </w:rPr>
        <w:t xml:space="preserve"> the TSX Composite, 1.53% for the Bovespa,</w:t>
      </w:r>
      <w:r>
        <w:rPr>
          <w:rFonts w:asciiTheme="majorHAnsi" w:hAnsiTheme="majorHAnsi" w:cstheme="majorHAnsi"/>
          <w:sz w:val="24"/>
          <w:szCs w:val="24"/>
        </w:rPr>
        <w:t xml:space="preserve"> only</w:t>
      </w:r>
      <w:r w:rsidRPr="00F10F5A">
        <w:rPr>
          <w:rFonts w:asciiTheme="majorHAnsi" w:hAnsiTheme="majorHAnsi" w:cstheme="majorHAnsi"/>
          <w:sz w:val="24"/>
          <w:szCs w:val="24"/>
        </w:rPr>
        <w:t xml:space="preserve"> 0.22% for the Bolsa, 6.55% for the DAX, 5.46% for the CAC-40, 3.61% for the FTSE 100, 5.92% for the IBEX 35, 2.49% for the Hang Seng, 4.14% for the Shanghai Composite, and just a respective 0.35% and 0.13% fo</w:t>
      </w:r>
      <w:r w:rsidRPr="00F10F5A">
        <w:rPr>
          <w:rFonts w:asciiTheme="majorHAnsi" w:hAnsiTheme="majorHAnsi" w:cstheme="majorHAnsi"/>
          <w:sz w:val="24"/>
          <w:szCs w:val="24"/>
        </w:rPr>
        <w:t>r the Sensex and the Nifty 50.</w:t>
      </w:r>
      <w:r w:rsidRPr="00F10F5A">
        <w:rPr>
          <w:rFonts w:asciiTheme="majorHAnsi" w:hAnsiTheme="majorHAnsi" w:cstheme="majorHAnsi"/>
          <w:sz w:val="24"/>
          <w:szCs w:val="24"/>
          <w:vertAlign w:val="superscript"/>
        </w:rPr>
        <w:t>13</w:t>
      </w:r>
      <w:r w:rsidRPr="00F10F5A">
        <w:rPr>
          <w:rFonts w:asciiTheme="majorHAnsi" w:hAnsiTheme="majorHAnsi" w:cstheme="majorHAnsi"/>
          <w:sz w:val="24"/>
          <w:szCs w:val="24"/>
        </w:rPr>
        <w:t xml:space="preserve"> </w:t>
      </w:r>
      <w:r w:rsidRPr="00F10F5A">
        <w:rPr>
          <w:rFonts w:asciiTheme="majorHAnsi" w:hAnsiTheme="majorHAnsi" w:cstheme="majorHAnsi"/>
          <w:sz w:val="24"/>
          <w:szCs w:val="24"/>
        </w:rPr>
        <w:t xml:space="preserve"> </w:t>
      </w:r>
    </w:p>
    <w:p w:rsidR="00F10F5A" w:rsidRPr="00F10F5A" w:rsidRDefault="00AA1FA2" w:rsidP="00E35A04">
      <w:pPr>
        <w:pStyle w:val="PlainText"/>
        <w:spacing w:line="276" w:lineRule="auto"/>
        <w:jc w:val="both"/>
        <w:rPr>
          <w:rFonts w:asciiTheme="majorHAnsi" w:hAnsiTheme="majorHAnsi" w:cstheme="majorHAnsi"/>
          <w:sz w:val="24"/>
          <w:szCs w:val="24"/>
        </w:rPr>
      </w:pPr>
    </w:p>
    <w:p w:rsidR="00E35A04" w:rsidRPr="00F10F5A" w:rsidRDefault="00AA1FA2" w:rsidP="00C22332">
      <w:pPr>
        <w:pStyle w:val="PlainText"/>
        <w:spacing w:after="160" w:line="276" w:lineRule="auto"/>
        <w:jc w:val="both"/>
        <w:rPr>
          <w:rFonts w:asciiTheme="majorHAnsi" w:hAnsiTheme="majorHAnsi" w:cstheme="majorHAnsi"/>
          <w:sz w:val="24"/>
          <w:szCs w:val="24"/>
        </w:rPr>
      </w:pPr>
      <w:r w:rsidRPr="00F10F5A">
        <w:rPr>
          <w:rFonts w:asciiTheme="majorHAnsi" w:hAnsiTheme="majorHAnsi" w:cstheme="majorHAnsi"/>
          <w:sz w:val="24"/>
          <w:szCs w:val="24"/>
        </w:rPr>
        <w:t xml:space="preserve">How about some of the regional </w:t>
      </w:r>
      <w:r>
        <w:rPr>
          <w:rFonts w:asciiTheme="majorHAnsi" w:hAnsiTheme="majorHAnsi" w:cstheme="majorHAnsi"/>
          <w:sz w:val="24"/>
          <w:szCs w:val="24"/>
        </w:rPr>
        <w:t>and</w:t>
      </w:r>
      <w:r w:rsidRPr="00F10F5A">
        <w:rPr>
          <w:rFonts w:asciiTheme="majorHAnsi" w:hAnsiTheme="majorHAnsi" w:cstheme="majorHAnsi"/>
          <w:sz w:val="24"/>
          <w:szCs w:val="24"/>
        </w:rPr>
        <w:t xml:space="preserve"> multinational indices? Well, the </w:t>
      </w:r>
      <w:r w:rsidRPr="00F10F5A">
        <w:rPr>
          <w:rFonts w:asciiTheme="majorHAnsi" w:hAnsiTheme="majorHAnsi" w:cstheme="majorHAnsi"/>
          <w:sz w:val="24"/>
          <w:szCs w:val="24"/>
        </w:rPr>
        <w:t xml:space="preserve">MSCI World </w:t>
      </w:r>
      <w:r w:rsidRPr="00F10F5A">
        <w:rPr>
          <w:rFonts w:asciiTheme="majorHAnsi" w:hAnsiTheme="majorHAnsi" w:cstheme="majorHAnsi"/>
          <w:sz w:val="24"/>
          <w:szCs w:val="24"/>
        </w:rPr>
        <w:t>slipped 7.71%</w:t>
      </w:r>
      <w:r>
        <w:rPr>
          <w:rFonts w:asciiTheme="majorHAnsi" w:hAnsiTheme="majorHAnsi" w:cstheme="majorHAnsi"/>
          <w:sz w:val="24"/>
          <w:szCs w:val="24"/>
        </w:rPr>
        <w:t>,</w:t>
      </w:r>
      <w:r>
        <w:rPr>
          <w:rFonts w:asciiTheme="majorHAnsi" w:hAnsiTheme="majorHAnsi" w:cstheme="majorHAnsi"/>
          <w:sz w:val="24"/>
          <w:szCs w:val="24"/>
        </w:rPr>
        <w:t xml:space="preserve"> while</w:t>
      </w:r>
      <w:r w:rsidRPr="00F10F5A">
        <w:rPr>
          <w:rFonts w:asciiTheme="majorHAnsi" w:hAnsiTheme="majorHAnsi" w:cstheme="majorHAnsi"/>
          <w:sz w:val="24"/>
          <w:szCs w:val="24"/>
        </w:rPr>
        <w:t xml:space="preserve"> the MSCI Emerging Markets </w:t>
      </w:r>
      <w:r>
        <w:rPr>
          <w:rFonts w:asciiTheme="majorHAnsi" w:hAnsiTheme="majorHAnsi" w:cstheme="majorHAnsi"/>
          <w:sz w:val="24"/>
          <w:szCs w:val="24"/>
        </w:rPr>
        <w:t xml:space="preserve">declined </w:t>
      </w:r>
      <w:r w:rsidRPr="00F10F5A">
        <w:rPr>
          <w:rFonts w:asciiTheme="majorHAnsi" w:hAnsiTheme="majorHAnsi" w:cstheme="majorHAnsi"/>
          <w:sz w:val="24"/>
          <w:szCs w:val="24"/>
        </w:rPr>
        <w:t>2.92%.</w:t>
      </w:r>
      <w:r w:rsidRPr="00F10F5A">
        <w:rPr>
          <w:rFonts w:asciiTheme="majorHAnsi" w:hAnsiTheme="majorHAnsi" w:cstheme="majorHAnsi"/>
          <w:sz w:val="24"/>
          <w:szCs w:val="24"/>
        </w:rPr>
        <w:t xml:space="preserve"> </w:t>
      </w:r>
      <w:r w:rsidRPr="00F10F5A">
        <w:rPr>
          <w:rFonts w:asciiTheme="majorHAnsi" w:hAnsiTheme="majorHAnsi" w:cstheme="majorHAnsi"/>
          <w:sz w:val="24"/>
          <w:szCs w:val="24"/>
        </w:rPr>
        <w:t>The FTSE Eurofirst 300 took a 5.44% loss</w:t>
      </w:r>
      <w:r w:rsidRPr="00F10F5A">
        <w:rPr>
          <w:rFonts w:asciiTheme="majorHAnsi" w:hAnsiTheme="majorHAnsi" w:cstheme="majorHAnsi"/>
          <w:sz w:val="24"/>
          <w:szCs w:val="24"/>
        </w:rPr>
        <w:t>.</w:t>
      </w:r>
      <w:r w:rsidRPr="00F10F5A">
        <w:rPr>
          <w:rFonts w:asciiTheme="majorHAnsi" w:hAnsiTheme="majorHAnsi" w:cstheme="majorHAnsi"/>
          <w:sz w:val="24"/>
          <w:szCs w:val="24"/>
        </w:rPr>
        <w:t xml:space="preserve"> </w:t>
      </w:r>
      <w:r>
        <w:rPr>
          <w:rFonts w:asciiTheme="majorHAnsi" w:hAnsiTheme="majorHAnsi" w:cstheme="majorHAnsi"/>
          <w:sz w:val="24"/>
          <w:szCs w:val="24"/>
        </w:rPr>
        <w:t>On a positive note, t</w:t>
      </w:r>
      <w:r w:rsidRPr="00F10F5A">
        <w:rPr>
          <w:rFonts w:asciiTheme="majorHAnsi" w:hAnsiTheme="majorHAnsi" w:cstheme="majorHAnsi"/>
          <w:sz w:val="24"/>
          <w:szCs w:val="24"/>
        </w:rPr>
        <w:t xml:space="preserve">wo emerging market </w:t>
      </w:r>
      <w:r>
        <w:rPr>
          <w:rFonts w:asciiTheme="majorHAnsi" w:hAnsiTheme="majorHAnsi" w:cstheme="majorHAnsi"/>
          <w:sz w:val="24"/>
          <w:szCs w:val="24"/>
        </w:rPr>
        <w:t>benchmarks</w:t>
      </w:r>
      <w:r w:rsidRPr="00F10F5A">
        <w:rPr>
          <w:rFonts w:asciiTheme="majorHAnsi" w:hAnsiTheme="majorHAnsi" w:cstheme="majorHAnsi"/>
          <w:sz w:val="24"/>
          <w:szCs w:val="24"/>
        </w:rPr>
        <w:t xml:space="preserve"> </w:t>
      </w:r>
      <w:r>
        <w:rPr>
          <w:rFonts w:asciiTheme="majorHAnsi" w:hAnsiTheme="majorHAnsi" w:cstheme="majorHAnsi"/>
          <w:sz w:val="24"/>
          <w:szCs w:val="24"/>
        </w:rPr>
        <w:t>saw</w:t>
      </w:r>
      <w:r w:rsidRPr="00F10F5A">
        <w:rPr>
          <w:rFonts w:asciiTheme="majorHAnsi" w:hAnsiTheme="majorHAnsi" w:cstheme="majorHAnsi"/>
          <w:sz w:val="24"/>
          <w:szCs w:val="24"/>
        </w:rPr>
        <w:t xml:space="preserve"> double-digit gains </w:t>
      </w:r>
      <w:r>
        <w:rPr>
          <w:rFonts w:asciiTheme="majorHAnsi" w:hAnsiTheme="majorHAnsi" w:cstheme="majorHAnsi"/>
          <w:sz w:val="24"/>
          <w:szCs w:val="24"/>
        </w:rPr>
        <w:t>in</w:t>
      </w:r>
      <w:r w:rsidRPr="00F10F5A">
        <w:rPr>
          <w:rFonts w:asciiTheme="majorHAnsi" w:hAnsiTheme="majorHAnsi" w:cstheme="majorHAnsi"/>
          <w:sz w:val="24"/>
          <w:szCs w:val="24"/>
        </w:rPr>
        <w:t xml:space="preserve"> 2018</w:t>
      </w:r>
      <w:r>
        <w:rPr>
          <w:rFonts w:asciiTheme="majorHAnsi" w:hAnsiTheme="majorHAnsi" w:cstheme="majorHAnsi"/>
          <w:sz w:val="24"/>
          <w:szCs w:val="24"/>
        </w:rPr>
        <w:t>:</w:t>
      </w:r>
      <w:r w:rsidRPr="00F10F5A">
        <w:rPr>
          <w:rFonts w:asciiTheme="majorHAnsi" w:hAnsiTheme="majorHAnsi" w:cstheme="majorHAnsi"/>
          <w:sz w:val="24"/>
          <w:szCs w:val="24"/>
        </w:rPr>
        <w:t xml:space="preserve"> Russia’s Micex advanced 12.16%</w:t>
      </w:r>
      <w:r>
        <w:rPr>
          <w:rFonts w:asciiTheme="majorHAnsi" w:hAnsiTheme="majorHAnsi" w:cstheme="majorHAnsi"/>
          <w:sz w:val="24"/>
          <w:szCs w:val="24"/>
        </w:rPr>
        <w:t>;</w:t>
      </w:r>
      <w:r w:rsidRPr="00F10F5A">
        <w:rPr>
          <w:rFonts w:asciiTheme="majorHAnsi" w:hAnsiTheme="majorHAnsi" w:cstheme="majorHAnsi"/>
          <w:sz w:val="24"/>
          <w:szCs w:val="24"/>
        </w:rPr>
        <w:t xml:space="preserve"> Brazil’s Bovespa</w:t>
      </w:r>
      <w:r>
        <w:rPr>
          <w:rFonts w:asciiTheme="majorHAnsi" w:hAnsiTheme="majorHAnsi" w:cstheme="majorHAnsi"/>
          <w:sz w:val="24"/>
          <w:szCs w:val="24"/>
        </w:rPr>
        <w:t>,</w:t>
      </w:r>
      <w:r w:rsidRPr="00F10F5A">
        <w:rPr>
          <w:rFonts w:asciiTheme="majorHAnsi" w:hAnsiTheme="majorHAnsi" w:cstheme="majorHAnsi"/>
          <w:sz w:val="24"/>
          <w:szCs w:val="24"/>
        </w:rPr>
        <w:t xml:space="preserve"> 15.03%.</w:t>
      </w:r>
      <w:r w:rsidRPr="00F10F5A">
        <w:rPr>
          <w:rFonts w:asciiTheme="majorHAnsi" w:hAnsiTheme="majorHAnsi" w:cstheme="majorHAnsi"/>
          <w:sz w:val="24"/>
          <w:szCs w:val="24"/>
          <w:vertAlign w:val="superscript"/>
        </w:rPr>
        <w:t>13,14</w:t>
      </w:r>
      <w:r w:rsidRPr="00F10F5A">
        <w:rPr>
          <w:rFonts w:asciiTheme="majorHAnsi" w:hAnsiTheme="majorHAnsi" w:cstheme="majorHAnsi"/>
          <w:sz w:val="24"/>
          <w:szCs w:val="24"/>
        </w:rPr>
        <w:t xml:space="preserve">  </w:t>
      </w:r>
    </w:p>
    <w:p w:rsidR="00C22332" w:rsidRPr="00DD38C0" w:rsidRDefault="00AA1FA2" w:rsidP="00C22332">
      <w:pPr>
        <w:spacing w:line="276" w:lineRule="auto"/>
        <w:jc w:val="both"/>
        <w:rPr>
          <w:rFonts w:asciiTheme="majorHAnsi" w:hAnsiTheme="majorHAnsi"/>
          <w:sz w:val="6"/>
          <w:szCs w:val="24"/>
        </w:rPr>
      </w:pPr>
    </w:p>
    <w:p w:rsidR="00DD38C0" w:rsidRPr="00775662" w:rsidRDefault="00AA1FA2"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C34CD2" w:rsidRPr="00A4481D" w:rsidRDefault="00AA1FA2" w:rsidP="00A4481D">
      <w:pPr>
        <w:pStyle w:val="PlainText"/>
        <w:spacing w:line="276" w:lineRule="auto"/>
        <w:jc w:val="both"/>
        <w:rPr>
          <w:rStyle w:val="st"/>
          <w:rFonts w:asciiTheme="majorHAnsi" w:hAnsiTheme="majorHAnsi" w:cstheme="majorHAnsi"/>
          <w:sz w:val="24"/>
          <w:szCs w:val="24"/>
        </w:rPr>
      </w:pPr>
      <w:r w:rsidRPr="00550921">
        <w:rPr>
          <w:rStyle w:val="st"/>
          <w:rFonts w:asciiTheme="majorHAnsi" w:hAnsiTheme="majorHAnsi"/>
          <w:sz w:val="24"/>
          <w:szCs w:val="24"/>
        </w:rPr>
        <w:t xml:space="preserve">Dollar strength put </w:t>
      </w:r>
      <w:r w:rsidRPr="00C22332">
        <w:rPr>
          <w:rStyle w:val="st"/>
          <w:rFonts w:asciiTheme="majorHAnsi" w:hAnsiTheme="majorHAnsi" w:cstheme="majorHAnsi"/>
          <w:sz w:val="24"/>
          <w:szCs w:val="24"/>
        </w:rPr>
        <w:t xml:space="preserve">pressure on this sector in 2018; the </w:t>
      </w:r>
      <w:r>
        <w:rPr>
          <w:rStyle w:val="st"/>
          <w:rFonts w:asciiTheme="majorHAnsi" w:hAnsiTheme="majorHAnsi" w:cstheme="majorHAnsi"/>
          <w:sz w:val="24"/>
          <w:szCs w:val="24"/>
        </w:rPr>
        <w:t>U.S. Dollar Index</w:t>
      </w:r>
      <w:r w:rsidRPr="00C22332">
        <w:rPr>
          <w:rStyle w:val="st"/>
          <w:rFonts w:asciiTheme="majorHAnsi" w:hAnsiTheme="majorHAnsi" w:cstheme="majorHAnsi"/>
          <w:sz w:val="24"/>
          <w:szCs w:val="24"/>
        </w:rPr>
        <w:t xml:space="preserve"> gained 4.64% for the year, a </w:t>
      </w:r>
      <w:r w:rsidRPr="00A4481D">
        <w:rPr>
          <w:rStyle w:val="st"/>
          <w:rFonts w:asciiTheme="majorHAnsi" w:hAnsiTheme="majorHAnsi" w:cstheme="majorHAnsi"/>
          <w:sz w:val="24"/>
          <w:szCs w:val="24"/>
        </w:rPr>
        <w:t>performance better than that of many commodities. Gold and silver moved up in December. The yellow metal gained 5.11% to reach $1,284.50 on the COMEX on New Year’s Eve. Silver rose 9.90% for the month to $15.54 on the COMEX.</w:t>
      </w:r>
      <w:r w:rsidRPr="00A4481D">
        <w:rPr>
          <w:rStyle w:val="st"/>
          <w:rFonts w:asciiTheme="majorHAnsi" w:hAnsiTheme="majorHAnsi" w:cstheme="majorHAnsi"/>
          <w:sz w:val="24"/>
          <w:szCs w:val="24"/>
        </w:rPr>
        <w:t xml:space="preserve"> </w:t>
      </w:r>
      <w:r w:rsidRPr="00A4481D">
        <w:rPr>
          <w:rStyle w:val="st"/>
          <w:rFonts w:asciiTheme="majorHAnsi" w:hAnsiTheme="majorHAnsi" w:cstheme="majorHAnsi"/>
          <w:sz w:val="24"/>
          <w:szCs w:val="24"/>
        </w:rPr>
        <w:t>A</w:t>
      </w:r>
      <w:r w:rsidRPr="00A4481D">
        <w:rPr>
          <w:rStyle w:val="st"/>
          <w:rFonts w:asciiTheme="majorHAnsi" w:hAnsiTheme="majorHAnsi" w:cstheme="majorHAnsi"/>
          <w:sz w:val="24"/>
          <w:szCs w:val="24"/>
        </w:rPr>
        <w:t xml:space="preserve">cross 2018, gold lost </w:t>
      </w:r>
      <w:r w:rsidRPr="00A4481D">
        <w:rPr>
          <w:rFonts w:asciiTheme="majorHAnsi" w:hAnsiTheme="majorHAnsi" w:cstheme="majorHAnsi"/>
          <w:sz w:val="24"/>
          <w:szCs w:val="24"/>
        </w:rPr>
        <w:t>2.42%</w:t>
      </w:r>
      <w:r>
        <w:rPr>
          <w:rFonts w:asciiTheme="majorHAnsi" w:hAnsiTheme="majorHAnsi" w:cstheme="majorHAnsi"/>
          <w:sz w:val="24"/>
          <w:szCs w:val="24"/>
        </w:rPr>
        <w:t>;</w:t>
      </w:r>
      <w:r w:rsidRPr="00A4481D">
        <w:rPr>
          <w:rFonts w:asciiTheme="majorHAnsi" w:hAnsiTheme="majorHAnsi" w:cstheme="majorHAnsi"/>
          <w:sz w:val="24"/>
          <w:szCs w:val="24"/>
        </w:rPr>
        <w:t xml:space="preserve"> silver</w:t>
      </w:r>
      <w:r>
        <w:rPr>
          <w:rFonts w:asciiTheme="majorHAnsi" w:hAnsiTheme="majorHAnsi" w:cstheme="majorHAnsi"/>
          <w:sz w:val="24"/>
          <w:szCs w:val="24"/>
        </w:rPr>
        <w:t>,</w:t>
      </w:r>
      <w:r w:rsidRPr="00A4481D">
        <w:rPr>
          <w:rFonts w:asciiTheme="majorHAnsi" w:hAnsiTheme="majorHAnsi" w:cstheme="majorHAnsi"/>
          <w:sz w:val="24"/>
          <w:szCs w:val="24"/>
        </w:rPr>
        <w:t xml:space="preserve"> 9.14%. </w:t>
      </w:r>
      <w:r w:rsidRPr="00A4481D">
        <w:rPr>
          <w:rStyle w:val="st"/>
          <w:rFonts w:asciiTheme="majorHAnsi" w:hAnsiTheme="majorHAnsi" w:cstheme="majorHAnsi"/>
          <w:sz w:val="24"/>
          <w:szCs w:val="24"/>
        </w:rPr>
        <w:t>Copper retreated 5.17%</w:t>
      </w:r>
      <w:r w:rsidRPr="00A4481D">
        <w:rPr>
          <w:rStyle w:val="st"/>
          <w:rFonts w:asciiTheme="majorHAnsi" w:hAnsiTheme="majorHAnsi" w:cstheme="majorHAnsi"/>
          <w:sz w:val="24"/>
          <w:szCs w:val="24"/>
        </w:rPr>
        <w:t xml:space="preserve"> last month</w:t>
      </w:r>
      <w:r>
        <w:rPr>
          <w:rStyle w:val="st"/>
          <w:rFonts w:asciiTheme="majorHAnsi" w:hAnsiTheme="majorHAnsi" w:cstheme="majorHAnsi"/>
          <w:sz w:val="24"/>
          <w:szCs w:val="24"/>
        </w:rPr>
        <w:t>,</w:t>
      </w:r>
      <w:r w:rsidRPr="00A4481D">
        <w:rPr>
          <w:rStyle w:val="st"/>
          <w:rFonts w:asciiTheme="majorHAnsi" w:hAnsiTheme="majorHAnsi" w:cstheme="majorHAnsi"/>
          <w:sz w:val="24"/>
          <w:szCs w:val="24"/>
        </w:rPr>
        <w:t xml:space="preserve"> and platinum </w:t>
      </w:r>
      <w:r w:rsidRPr="00A4481D">
        <w:rPr>
          <w:rStyle w:val="st"/>
          <w:rFonts w:asciiTheme="majorHAnsi" w:hAnsiTheme="majorHAnsi" w:cstheme="majorHAnsi"/>
          <w:sz w:val="24"/>
          <w:szCs w:val="24"/>
        </w:rPr>
        <w:t xml:space="preserve">settled </w:t>
      </w:r>
      <w:r w:rsidRPr="00A4481D">
        <w:rPr>
          <w:rStyle w:val="st"/>
          <w:rFonts w:asciiTheme="majorHAnsi" w:hAnsiTheme="majorHAnsi" w:cstheme="majorHAnsi"/>
          <w:sz w:val="24"/>
          <w:szCs w:val="24"/>
        </w:rPr>
        <w:t>1.29%</w:t>
      </w:r>
      <w:r w:rsidRPr="00A4481D">
        <w:rPr>
          <w:rStyle w:val="st"/>
          <w:rFonts w:asciiTheme="majorHAnsi" w:hAnsiTheme="majorHAnsi" w:cstheme="majorHAnsi"/>
          <w:sz w:val="24"/>
          <w:szCs w:val="24"/>
        </w:rPr>
        <w:t xml:space="preserve"> lower</w:t>
      </w:r>
      <w:r w:rsidRPr="00A4481D">
        <w:rPr>
          <w:rStyle w:val="st"/>
          <w:rFonts w:asciiTheme="majorHAnsi" w:hAnsiTheme="majorHAnsi" w:cstheme="majorHAnsi"/>
          <w:sz w:val="24"/>
          <w:szCs w:val="24"/>
        </w:rPr>
        <w:t>.</w:t>
      </w:r>
      <w:r w:rsidRPr="00A4481D">
        <w:rPr>
          <w:rStyle w:val="st"/>
          <w:rFonts w:asciiTheme="majorHAnsi" w:hAnsiTheme="majorHAnsi" w:cstheme="majorHAnsi"/>
          <w:sz w:val="24"/>
          <w:szCs w:val="24"/>
          <w:vertAlign w:val="superscript"/>
        </w:rPr>
        <w:t>15</w:t>
      </w:r>
      <w:r>
        <w:rPr>
          <w:rStyle w:val="st"/>
          <w:rFonts w:asciiTheme="majorHAnsi" w:hAnsiTheme="majorHAnsi" w:cstheme="majorHAnsi"/>
          <w:sz w:val="24"/>
          <w:szCs w:val="24"/>
          <w:vertAlign w:val="superscript"/>
        </w:rPr>
        <w:t>,16</w:t>
      </w:r>
      <w:r w:rsidRPr="00A4481D">
        <w:rPr>
          <w:rStyle w:val="st"/>
          <w:rFonts w:asciiTheme="majorHAnsi" w:hAnsiTheme="majorHAnsi" w:cstheme="majorHAnsi"/>
          <w:sz w:val="24"/>
          <w:szCs w:val="24"/>
        </w:rPr>
        <w:t xml:space="preserve"> </w:t>
      </w:r>
    </w:p>
    <w:p w:rsidR="00C34CD2" w:rsidRPr="00A4481D" w:rsidRDefault="00AA1FA2" w:rsidP="00A4481D">
      <w:pPr>
        <w:pStyle w:val="PlainText"/>
        <w:spacing w:line="276" w:lineRule="auto"/>
        <w:jc w:val="both"/>
        <w:rPr>
          <w:rStyle w:val="st"/>
          <w:rFonts w:asciiTheme="majorHAnsi" w:hAnsiTheme="majorHAnsi" w:cstheme="majorHAnsi"/>
          <w:sz w:val="24"/>
          <w:szCs w:val="24"/>
        </w:rPr>
      </w:pPr>
    </w:p>
    <w:p w:rsidR="001B3C06" w:rsidRPr="00A4481D" w:rsidRDefault="00AA1FA2" w:rsidP="00A4481D">
      <w:pPr>
        <w:pStyle w:val="PlainText"/>
        <w:spacing w:after="160" w:line="276" w:lineRule="auto"/>
        <w:jc w:val="both"/>
        <w:rPr>
          <w:rStyle w:val="st"/>
          <w:rFonts w:asciiTheme="majorHAnsi" w:hAnsiTheme="majorHAnsi" w:cstheme="majorHAnsi"/>
          <w:sz w:val="24"/>
          <w:szCs w:val="24"/>
          <w:vertAlign w:val="superscript"/>
        </w:rPr>
      </w:pPr>
      <w:r w:rsidRPr="00A4481D">
        <w:rPr>
          <w:rFonts w:asciiTheme="majorHAnsi" w:hAnsiTheme="majorHAnsi" w:cstheme="majorHAnsi"/>
          <w:sz w:val="24"/>
          <w:szCs w:val="24"/>
        </w:rPr>
        <w:t xml:space="preserve">Oil prices kept falling. In December, WTI crude declined 9.64% to finish out the year at $45.83 on the NYMEX. For </w:t>
      </w:r>
      <w:r w:rsidRPr="00A4481D">
        <w:rPr>
          <w:rFonts w:asciiTheme="majorHAnsi" w:hAnsiTheme="majorHAnsi" w:cstheme="majorHAnsi"/>
          <w:sz w:val="24"/>
          <w:szCs w:val="24"/>
        </w:rPr>
        <w:t xml:space="preserve">all of </w:t>
      </w:r>
      <w:r w:rsidRPr="00A4481D">
        <w:rPr>
          <w:rFonts w:asciiTheme="majorHAnsi" w:hAnsiTheme="majorHAnsi" w:cstheme="majorHAnsi"/>
          <w:sz w:val="24"/>
          <w:szCs w:val="24"/>
        </w:rPr>
        <w:t xml:space="preserve">2018, crude retreated 24.05%. Unleaded gasoline suffered a 7.45% December setback. </w:t>
      </w:r>
      <w:r w:rsidRPr="00A4481D">
        <w:rPr>
          <w:rFonts w:asciiTheme="majorHAnsi" w:hAnsiTheme="majorHAnsi" w:cstheme="majorHAnsi"/>
          <w:sz w:val="24"/>
          <w:szCs w:val="24"/>
        </w:rPr>
        <w:t>Heating oil fell 7.83%. All of that paled next to na</w:t>
      </w:r>
      <w:r w:rsidRPr="00A4481D">
        <w:rPr>
          <w:rFonts w:asciiTheme="majorHAnsi" w:hAnsiTheme="majorHAnsi" w:cstheme="majorHAnsi"/>
          <w:sz w:val="24"/>
          <w:szCs w:val="24"/>
        </w:rPr>
        <w:t xml:space="preserve">tural gas, which </w:t>
      </w:r>
      <w:r w:rsidRPr="00A4481D">
        <w:rPr>
          <w:rFonts w:asciiTheme="majorHAnsi" w:hAnsiTheme="majorHAnsi" w:cstheme="majorHAnsi"/>
          <w:sz w:val="24"/>
          <w:szCs w:val="24"/>
        </w:rPr>
        <w:t>p</w:t>
      </w:r>
      <w:r w:rsidRPr="00A4481D">
        <w:rPr>
          <w:rFonts w:asciiTheme="majorHAnsi" w:hAnsiTheme="majorHAnsi" w:cstheme="majorHAnsi"/>
          <w:sz w:val="24"/>
          <w:szCs w:val="24"/>
        </w:rPr>
        <w:t>lunged</w:t>
      </w:r>
      <w:r w:rsidRPr="00A4481D">
        <w:rPr>
          <w:rFonts w:asciiTheme="majorHAnsi" w:hAnsiTheme="majorHAnsi" w:cstheme="majorHAnsi"/>
          <w:sz w:val="24"/>
          <w:szCs w:val="24"/>
        </w:rPr>
        <w:t xml:space="preserve"> 36.01%. </w:t>
      </w:r>
      <w:r w:rsidRPr="00A4481D">
        <w:rPr>
          <w:rFonts w:asciiTheme="majorHAnsi" w:hAnsiTheme="majorHAnsi" w:cstheme="majorHAnsi"/>
          <w:sz w:val="24"/>
          <w:szCs w:val="24"/>
        </w:rPr>
        <w:t>Most key crops also went negative on the month: soybeans lost 1.26%</w:t>
      </w:r>
      <w:r>
        <w:rPr>
          <w:rFonts w:asciiTheme="majorHAnsi" w:hAnsiTheme="majorHAnsi" w:cstheme="majorHAnsi"/>
          <w:sz w:val="24"/>
          <w:szCs w:val="24"/>
        </w:rPr>
        <w:t>;</w:t>
      </w:r>
      <w:r w:rsidRPr="00A4481D">
        <w:rPr>
          <w:rFonts w:asciiTheme="majorHAnsi" w:hAnsiTheme="majorHAnsi" w:cstheme="majorHAnsi"/>
          <w:sz w:val="24"/>
          <w:szCs w:val="24"/>
        </w:rPr>
        <w:t xml:space="preserve"> wheat</w:t>
      </w:r>
      <w:r>
        <w:rPr>
          <w:rFonts w:asciiTheme="majorHAnsi" w:hAnsiTheme="majorHAnsi" w:cstheme="majorHAnsi"/>
          <w:sz w:val="24"/>
          <w:szCs w:val="24"/>
        </w:rPr>
        <w:t>,</w:t>
      </w:r>
      <w:r w:rsidRPr="00A4481D">
        <w:rPr>
          <w:rFonts w:asciiTheme="majorHAnsi" w:hAnsiTheme="majorHAnsi" w:cstheme="majorHAnsi"/>
          <w:sz w:val="24"/>
          <w:szCs w:val="24"/>
        </w:rPr>
        <w:t xml:space="preserve"> 2.42%</w:t>
      </w:r>
      <w:r>
        <w:rPr>
          <w:rFonts w:asciiTheme="majorHAnsi" w:hAnsiTheme="majorHAnsi" w:cstheme="majorHAnsi"/>
          <w:sz w:val="24"/>
          <w:szCs w:val="24"/>
        </w:rPr>
        <w:t>;</w:t>
      </w:r>
      <w:r w:rsidRPr="00A4481D">
        <w:rPr>
          <w:rFonts w:asciiTheme="majorHAnsi" w:hAnsiTheme="majorHAnsi" w:cstheme="majorHAnsi"/>
          <w:sz w:val="24"/>
          <w:szCs w:val="24"/>
        </w:rPr>
        <w:t xml:space="preserve"> coffee</w:t>
      </w:r>
      <w:r>
        <w:rPr>
          <w:rFonts w:asciiTheme="majorHAnsi" w:hAnsiTheme="majorHAnsi" w:cstheme="majorHAnsi"/>
          <w:sz w:val="24"/>
          <w:szCs w:val="24"/>
        </w:rPr>
        <w:t>,</w:t>
      </w:r>
      <w:r w:rsidRPr="00A4481D">
        <w:rPr>
          <w:rFonts w:asciiTheme="majorHAnsi" w:hAnsiTheme="majorHAnsi" w:cstheme="majorHAnsi"/>
          <w:sz w:val="24"/>
          <w:szCs w:val="24"/>
        </w:rPr>
        <w:t xml:space="preserve"> 2.88%</w:t>
      </w:r>
      <w:r>
        <w:rPr>
          <w:rFonts w:asciiTheme="majorHAnsi" w:hAnsiTheme="majorHAnsi" w:cstheme="majorHAnsi"/>
          <w:sz w:val="24"/>
          <w:szCs w:val="24"/>
        </w:rPr>
        <w:t>;</w:t>
      </w:r>
      <w:r w:rsidRPr="00A4481D">
        <w:rPr>
          <w:rFonts w:asciiTheme="majorHAnsi" w:hAnsiTheme="majorHAnsi" w:cstheme="majorHAnsi"/>
          <w:sz w:val="24"/>
          <w:szCs w:val="24"/>
        </w:rPr>
        <w:t xml:space="preserve"> sugar</w:t>
      </w:r>
      <w:r>
        <w:rPr>
          <w:rFonts w:asciiTheme="majorHAnsi" w:hAnsiTheme="majorHAnsi" w:cstheme="majorHAnsi"/>
          <w:sz w:val="24"/>
          <w:szCs w:val="24"/>
        </w:rPr>
        <w:t>,</w:t>
      </w:r>
      <w:r w:rsidRPr="00A4481D">
        <w:rPr>
          <w:rFonts w:asciiTheme="majorHAnsi" w:hAnsiTheme="majorHAnsi" w:cstheme="majorHAnsi"/>
          <w:sz w:val="24"/>
          <w:szCs w:val="24"/>
        </w:rPr>
        <w:t xml:space="preserve"> 3.50%</w:t>
      </w:r>
      <w:r>
        <w:rPr>
          <w:rFonts w:asciiTheme="majorHAnsi" w:hAnsiTheme="majorHAnsi" w:cstheme="majorHAnsi"/>
          <w:sz w:val="24"/>
          <w:szCs w:val="24"/>
        </w:rPr>
        <w:t>;</w:t>
      </w:r>
      <w:r w:rsidRPr="00A4481D">
        <w:rPr>
          <w:rFonts w:asciiTheme="majorHAnsi" w:hAnsiTheme="majorHAnsi" w:cstheme="majorHAnsi"/>
          <w:sz w:val="24"/>
          <w:szCs w:val="24"/>
        </w:rPr>
        <w:t xml:space="preserve"> cotton</w:t>
      </w:r>
      <w:r>
        <w:rPr>
          <w:rFonts w:asciiTheme="majorHAnsi" w:hAnsiTheme="majorHAnsi" w:cstheme="majorHAnsi"/>
          <w:sz w:val="24"/>
          <w:szCs w:val="24"/>
        </w:rPr>
        <w:t>,</w:t>
      </w:r>
      <w:r w:rsidRPr="00A4481D">
        <w:rPr>
          <w:rFonts w:asciiTheme="majorHAnsi" w:hAnsiTheme="majorHAnsi" w:cstheme="majorHAnsi"/>
          <w:sz w:val="24"/>
          <w:szCs w:val="24"/>
        </w:rPr>
        <w:t xml:space="preserve"> 8.52%. </w:t>
      </w:r>
      <w:r w:rsidRPr="00A4481D">
        <w:rPr>
          <w:rFonts w:asciiTheme="majorHAnsi" w:hAnsiTheme="majorHAnsi" w:cstheme="majorHAnsi"/>
          <w:sz w:val="24"/>
          <w:szCs w:val="24"/>
        </w:rPr>
        <w:t xml:space="preserve">Cocoa </w:t>
      </w:r>
      <w:r w:rsidRPr="00A4481D">
        <w:rPr>
          <w:rFonts w:asciiTheme="majorHAnsi" w:hAnsiTheme="majorHAnsi" w:cstheme="majorHAnsi"/>
          <w:sz w:val="24"/>
          <w:szCs w:val="24"/>
        </w:rPr>
        <w:t xml:space="preserve">and corn were notable exceptions, the former advancing </w:t>
      </w:r>
      <w:r w:rsidRPr="00A4481D">
        <w:rPr>
          <w:rFonts w:asciiTheme="majorHAnsi" w:hAnsiTheme="majorHAnsi" w:cstheme="majorHAnsi"/>
          <w:sz w:val="24"/>
          <w:szCs w:val="24"/>
        </w:rPr>
        <w:t>11.85%</w:t>
      </w:r>
      <w:r>
        <w:rPr>
          <w:rFonts w:asciiTheme="majorHAnsi" w:hAnsiTheme="majorHAnsi" w:cstheme="majorHAnsi"/>
          <w:sz w:val="24"/>
          <w:szCs w:val="24"/>
        </w:rPr>
        <w:t>,</w:t>
      </w:r>
      <w:r>
        <w:rPr>
          <w:rFonts w:asciiTheme="majorHAnsi" w:hAnsiTheme="majorHAnsi" w:cstheme="majorHAnsi"/>
          <w:sz w:val="24"/>
          <w:szCs w:val="24"/>
        </w:rPr>
        <w:t xml:space="preserve"> and</w:t>
      </w:r>
      <w:r w:rsidRPr="00A4481D">
        <w:rPr>
          <w:rFonts w:asciiTheme="majorHAnsi" w:hAnsiTheme="majorHAnsi" w:cstheme="majorHAnsi"/>
          <w:sz w:val="24"/>
          <w:szCs w:val="24"/>
        </w:rPr>
        <w:t xml:space="preserve"> the latter</w:t>
      </w:r>
      <w:r>
        <w:rPr>
          <w:rFonts w:asciiTheme="majorHAnsi" w:hAnsiTheme="majorHAnsi" w:cstheme="majorHAnsi"/>
          <w:sz w:val="24"/>
          <w:szCs w:val="24"/>
        </w:rPr>
        <w:t>,</w:t>
      </w:r>
      <w:r w:rsidRPr="00A4481D">
        <w:rPr>
          <w:rFonts w:asciiTheme="majorHAnsi" w:hAnsiTheme="majorHAnsi" w:cstheme="majorHAnsi"/>
          <w:sz w:val="24"/>
          <w:szCs w:val="24"/>
        </w:rPr>
        <w:t xml:space="preserve"> 2.46%.</w:t>
      </w:r>
      <w:r w:rsidRPr="00A4481D">
        <w:rPr>
          <w:rStyle w:val="st"/>
          <w:rFonts w:asciiTheme="majorHAnsi" w:hAnsiTheme="majorHAnsi" w:cstheme="majorHAnsi"/>
          <w:sz w:val="24"/>
          <w:szCs w:val="24"/>
          <w:vertAlign w:val="superscript"/>
        </w:rPr>
        <w:t>1</w:t>
      </w:r>
      <w:r>
        <w:rPr>
          <w:rStyle w:val="st"/>
          <w:rFonts w:asciiTheme="majorHAnsi" w:hAnsiTheme="majorHAnsi" w:cstheme="majorHAnsi"/>
          <w:sz w:val="24"/>
          <w:szCs w:val="24"/>
          <w:vertAlign w:val="superscript"/>
        </w:rPr>
        <w:t>6</w:t>
      </w:r>
    </w:p>
    <w:p w:rsidR="00A4481D" w:rsidRPr="00DD38C0" w:rsidRDefault="00AA1FA2" w:rsidP="00A4481D">
      <w:pPr>
        <w:spacing w:line="276" w:lineRule="auto"/>
        <w:jc w:val="both"/>
        <w:rPr>
          <w:rFonts w:asciiTheme="majorHAnsi" w:hAnsiTheme="majorHAnsi"/>
          <w:sz w:val="6"/>
          <w:szCs w:val="24"/>
        </w:rPr>
      </w:pPr>
    </w:p>
    <w:p w:rsidR="002405DE" w:rsidRPr="00775662" w:rsidRDefault="00AA1FA2"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rsidR="00E213AF" w:rsidRPr="007A574C" w:rsidRDefault="00AA1FA2" w:rsidP="00512529">
      <w:pPr>
        <w:pStyle w:val="PlainText"/>
        <w:spacing w:after="160" w:line="276" w:lineRule="auto"/>
        <w:jc w:val="both"/>
        <w:rPr>
          <w:rStyle w:val="st"/>
          <w:rFonts w:asciiTheme="majorHAnsi" w:hAnsiTheme="majorHAnsi"/>
          <w:sz w:val="24"/>
          <w:szCs w:val="24"/>
        </w:rPr>
      </w:pPr>
      <w:r w:rsidRPr="0075375D">
        <w:rPr>
          <w:rStyle w:val="st"/>
          <w:rFonts w:asciiTheme="majorHAnsi" w:hAnsiTheme="majorHAnsi"/>
          <w:sz w:val="24"/>
          <w:szCs w:val="24"/>
        </w:rPr>
        <w:lastRenderedPageBreak/>
        <w:t xml:space="preserve">More homes sold in November – more existing homes, that is. The National Association of Realtors said </w:t>
      </w:r>
      <w:r>
        <w:rPr>
          <w:rStyle w:val="st"/>
          <w:rFonts w:asciiTheme="majorHAnsi" w:hAnsiTheme="majorHAnsi"/>
          <w:sz w:val="24"/>
          <w:szCs w:val="24"/>
        </w:rPr>
        <w:t xml:space="preserve">that </w:t>
      </w:r>
      <w:r w:rsidRPr="0075375D">
        <w:rPr>
          <w:rStyle w:val="st"/>
          <w:rFonts w:asciiTheme="majorHAnsi" w:hAnsiTheme="majorHAnsi"/>
          <w:sz w:val="24"/>
          <w:szCs w:val="24"/>
        </w:rPr>
        <w:t xml:space="preserve">resales </w:t>
      </w:r>
      <w:r w:rsidRPr="007A574C">
        <w:rPr>
          <w:rStyle w:val="st"/>
          <w:rFonts w:asciiTheme="majorHAnsi" w:hAnsiTheme="majorHAnsi"/>
          <w:sz w:val="24"/>
          <w:szCs w:val="24"/>
        </w:rPr>
        <w:t>improved 1.9% in the penultimate month o</w:t>
      </w:r>
      <w:r w:rsidRPr="007A574C">
        <w:rPr>
          <w:rStyle w:val="st"/>
          <w:rFonts w:asciiTheme="majorHAnsi" w:hAnsiTheme="majorHAnsi"/>
          <w:sz w:val="24"/>
          <w:szCs w:val="24"/>
        </w:rPr>
        <w:t>f the year, and that</w:t>
      </w:r>
      <w:r w:rsidRPr="007A574C">
        <w:rPr>
          <w:rStyle w:val="st"/>
          <w:rFonts w:asciiTheme="majorHAnsi" w:hAnsiTheme="majorHAnsi"/>
          <w:sz w:val="24"/>
          <w:szCs w:val="24"/>
        </w:rPr>
        <w:t xml:space="preserve"> followed the 1.4% gain seen in October</w:t>
      </w:r>
      <w:r w:rsidRPr="007A574C">
        <w:rPr>
          <w:rStyle w:val="st"/>
          <w:rFonts w:asciiTheme="majorHAnsi" w:hAnsiTheme="majorHAnsi"/>
          <w:sz w:val="24"/>
          <w:szCs w:val="24"/>
        </w:rPr>
        <w:t>.</w:t>
      </w:r>
      <w:r w:rsidRPr="007A574C">
        <w:rPr>
          <w:rStyle w:val="st"/>
          <w:rFonts w:asciiTheme="majorHAnsi" w:hAnsiTheme="majorHAnsi"/>
          <w:sz w:val="24"/>
          <w:szCs w:val="24"/>
        </w:rPr>
        <w:t xml:space="preserve"> </w:t>
      </w:r>
      <w:r w:rsidRPr="007A574C">
        <w:rPr>
          <w:rStyle w:val="st"/>
          <w:rFonts w:asciiTheme="majorHAnsi" w:hAnsiTheme="majorHAnsi"/>
          <w:sz w:val="24"/>
          <w:szCs w:val="24"/>
        </w:rPr>
        <w:t>The trend might not continue, though, as</w:t>
      </w:r>
      <w:r w:rsidRPr="007A574C">
        <w:rPr>
          <w:rStyle w:val="st"/>
          <w:rFonts w:asciiTheme="majorHAnsi" w:hAnsiTheme="majorHAnsi"/>
          <w:sz w:val="24"/>
          <w:szCs w:val="24"/>
        </w:rPr>
        <w:t xml:space="preserve"> NAR’s pending home sales index </w:t>
      </w:r>
      <w:r w:rsidRPr="007A574C">
        <w:rPr>
          <w:rStyle w:val="st"/>
          <w:rFonts w:asciiTheme="majorHAnsi" w:hAnsiTheme="majorHAnsi"/>
          <w:sz w:val="24"/>
          <w:szCs w:val="24"/>
        </w:rPr>
        <w:t>retreat</w:t>
      </w:r>
      <w:r w:rsidRPr="007A574C">
        <w:rPr>
          <w:rStyle w:val="st"/>
          <w:rFonts w:asciiTheme="majorHAnsi" w:hAnsiTheme="majorHAnsi"/>
          <w:sz w:val="24"/>
          <w:szCs w:val="24"/>
        </w:rPr>
        <w:t xml:space="preserve">ed </w:t>
      </w:r>
      <w:r w:rsidRPr="007A574C">
        <w:rPr>
          <w:rStyle w:val="st"/>
          <w:rFonts w:asciiTheme="majorHAnsi" w:hAnsiTheme="majorHAnsi"/>
          <w:sz w:val="24"/>
          <w:szCs w:val="24"/>
        </w:rPr>
        <w:t>0.7</w:t>
      </w:r>
      <w:r w:rsidRPr="007A574C">
        <w:rPr>
          <w:rStyle w:val="st"/>
          <w:rFonts w:asciiTheme="majorHAnsi" w:hAnsiTheme="majorHAnsi"/>
          <w:sz w:val="24"/>
          <w:szCs w:val="24"/>
        </w:rPr>
        <w:t>% in November.</w:t>
      </w:r>
      <w:r w:rsidRPr="007A574C">
        <w:rPr>
          <w:rStyle w:val="st"/>
          <w:rFonts w:asciiTheme="majorHAnsi" w:hAnsiTheme="majorHAnsi"/>
          <w:sz w:val="24"/>
          <w:szCs w:val="24"/>
        </w:rPr>
        <w:t xml:space="preserve"> (Due to the federal government shutdown, the Census Bureau’s November new home sales report was </w:t>
      </w:r>
      <w:r>
        <w:rPr>
          <w:rStyle w:val="st"/>
          <w:rFonts w:asciiTheme="majorHAnsi" w:hAnsiTheme="majorHAnsi"/>
          <w:sz w:val="24"/>
          <w:szCs w:val="24"/>
        </w:rPr>
        <w:t>still pending</w:t>
      </w:r>
      <w:r w:rsidRPr="007A574C">
        <w:rPr>
          <w:rStyle w:val="st"/>
          <w:rFonts w:asciiTheme="majorHAnsi" w:hAnsiTheme="majorHAnsi"/>
          <w:sz w:val="24"/>
          <w:szCs w:val="24"/>
        </w:rPr>
        <w:t xml:space="preserve"> at this writing.) </w:t>
      </w:r>
      <w:r w:rsidRPr="007A574C">
        <w:rPr>
          <w:rStyle w:val="st"/>
          <w:rFonts w:asciiTheme="majorHAnsi" w:hAnsiTheme="majorHAnsi"/>
          <w:sz w:val="24"/>
          <w:szCs w:val="24"/>
        </w:rPr>
        <w:t>Housing starts and buildi</w:t>
      </w:r>
      <w:r w:rsidRPr="007A574C">
        <w:rPr>
          <w:rStyle w:val="st"/>
          <w:rFonts w:asciiTheme="majorHAnsi" w:hAnsiTheme="majorHAnsi"/>
          <w:sz w:val="24"/>
          <w:szCs w:val="24"/>
        </w:rPr>
        <w:t>ng permits were both up for November: g</w:t>
      </w:r>
      <w:r w:rsidRPr="007A574C">
        <w:rPr>
          <w:rStyle w:val="st"/>
          <w:rFonts w:asciiTheme="majorHAnsi" w:hAnsiTheme="majorHAnsi"/>
          <w:sz w:val="24"/>
          <w:szCs w:val="24"/>
        </w:rPr>
        <w:t>roundbreaking increased 3.2%, and the pace of permits issued im</w:t>
      </w:r>
      <w:r w:rsidRPr="007A574C">
        <w:rPr>
          <w:rStyle w:val="st"/>
          <w:rFonts w:asciiTheme="majorHAnsi" w:hAnsiTheme="majorHAnsi"/>
          <w:sz w:val="24"/>
          <w:szCs w:val="24"/>
        </w:rPr>
        <w:t>proved 5.0%.</w:t>
      </w:r>
      <w:r w:rsidRPr="007A574C">
        <w:rPr>
          <w:rStyle w:val="st"/>
          <w:rFonts w:asciiTheme="majorHAnsi" w:hAnsiTheme="majorHAnsi"/>
          <w:sz w:val="24"/>
          <w:szCs w:val="24"/>
          <w:vertAlign w:val="superscript"/>
        </w:rPr>
        <w:t>4</w:t>
      </w:r>
    </w:p>
    <w:p w:rsidR="000E566E" w:rsidRPr="008059E3" w:rsidRDefault="00AA1FA2" w:rsidP="00512529">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Home loans grew cheaper </w:t>
      </w:r>
      <w:r>
        <w:rPr>
          <w:rStyle w:val="st"/>
          <w:rFonts w:asciiTheme="majorHAnsi" w:hAnsiTheme="majorHAnsi"/>
          <w:sz w:val="24"/>
          <w:szCs w:val="24"/>
        </w:rPr>
        <w:t>in December</w:t>
      </w:r>
      <w:r w:rsidRPr="00782DA0">
        <w:rPr>
          <w:rStyle w:val="st"/>
          <w:rFonts w:asciiTheme="majorHAnsi" w:hAnsiTheme="majorHAnsi"/>
          <w:sz w:val="24"/>
          <w:szCs w:val="24"/>
        </w:rPr>
        <w:t xml:space="preserve">. </w:t>
      </w:r>
      <w:r>
        <w:rPr>
          <w:rStyle w:val="st"/>
          <w:rFonts w:asciiTheme="majorHAnsi" w:hAnsiTheme="majorHAnsi"/>
          <w:sz w:val="24"/>
          <w:szCs w:val="24"/>
        </w:rPr>
        <w:t>Back o</w:t>
      </w:r>
      <w:r w:rsidRPr="00782DA0">
        <w:rPr>
          <w:rStyle w:val="st"/>
          <w:rFonts w:asciiTheme="majorHAnsi" w:hAnsiTheme="majorHAnsi"/>
          <w:sz w:val="24"/>
          <w:szCs w:val="24"/>
        </w:rPr>
        <w:t>n</w:t>
      </w:r>
      <w:r w:rsidRPr="00782DA0">
        <w:rPr>
          <w:rStyle w:val="st"/>
          <w:rFonts w:asciiTheme="majorHAnsi" w:hAnsiTheme="majorHAnsi"/>
          <w:sz w:val="24"/>
          <w:szCs w:val="24"/>
        </w:rPr>
        <w:t xml:space="preserve"> November</w:t>
      </w:r>
      <w:r w:rsidRPr="00782DA0">
        <w:rPr>
          <w:rStyle w:val="st"/>
          <w:rFonts w:asciiTheme="majorHAnsi" w:hAnsiTheme="majorHAnsi"/>
          <w:sz w:val="24"/>
          <w:szCs w:val="24"/>
        </w:rPr>
        <w:t xml:space="preserve"> 29,</w:t>
      </w:r>
      <w:r w:rsidRPr="00782DA0">
        <w:rPr>
          <w:rStyle w:val="st"/>
          <w:rFonts w:asciiTheme="majorHAnsi" w:hAnsiTheme="majorHAnsi"/>
          <w:sz w:val="24"/>
          <w:szCs w:val="24"/>
        </w:rPr>
        <w:t xml:space="preserve"> Freddie Mac</w:t>
      </w:r>
      <w:r w:rsidRPr="00782DA0">
        <w:rPr>
          <w:rStyle w:val="st"/>
          <w:rFonts w:asciiTheme="majorHAnsi" w:hAnsiTheme="majorHAnsi"/>
          <w:sz w:val="24"/>
          <w:szCs w:val="24"/>
        </w:rPr>
        <w:t>’s Primary Mortgage Market Survey listed the mean interest rates on the following loans:</w:t>
      </w:r>
      <w:r w:rsidRPr="00782DA0">
        <w:rPr>
          <w:rStyle w:val="st"/>
          <w:rFonts w:asciiTheme="majorHAnsi" w:hAnsiTheme="majorHAnsi"/>
          <w:sz w:val="24"/>
          <w:szCs w:val="24"/>
        </w:rPr>
        <w:t xml:space="preserve"> </w:t>
      </w:r>
      <w:bookmarkStart w:id="1" w:name="_Hlk533597970"/>
      <w:r w:rsidRPr="00782DA0">
        <w:rPr>
          <w:rStyle w:val="st"/>
          <w:rFonts w:asciiTheme="majorHAnsi" w:hAnsiTheme="majorHAnsi"/>
          <w:sz w:val="24"/>
          <w:szCs w:val="24"/>
        </w:rPr>
        <w:t xml:space="preserve">30-year </w:t>
      </w:r>
      <w:r w:rsidRPr="00782DA0">
        <w:rPr>
          <w:rStyle w:val="st"/>
          <w:rFonts w:asciiTheme="majorHAnsi" w:hAnsiTheme="majorHAnsi"/>
          <w:sz w:val="24"/>
          <w:szCs w:val="24"/>
        </w:rPr>
        <w:t>FR</w:t>
      </w:r>
      <w:r w:rsidRPr="008D1AC0">
        <w:rPr>
          <w:rStyle w:val="st"/>
          <w:rFonts w:asciiTheme="majorHAnsi" w:hAnsiTheme="majorHAnsi"/>
          <w:sz w:val="24"/>
          <w:szCs w:val="24"/>
        </w:rPr>
        <w:t xml:space="preserve">M, </w:t>
      </w:r>
      <w:r w:rsidRPr="008D1AC0">
        <w:rPr>
          <w:rStyle w:val="st"/>
          <w:rFonts w:asciiTheme="majorHAnsi" w:hAnsiTheme="majorHAnsi"/>
          <w:sz w:val="24"/>
          <w:szCs w:val="24"/>
        </w:rPr>
        <w:t>4.8</w:t>
      </w:r>
      <w:r w:rsidRPr="008D1AC0">
        <w:rPr>
          <w:rStyle w:val="st"/>
          <w:rFonts w:asciiTheme="majorHAnsi" w:hAnsiTheme="majorHAnsi"/>
          <w:sz w:val="24"/>
          <w:szCs w:val="24"/>
        </w:rPr>
        <w:t>1</w:t>
      </w:r>
      <w:r w:rsidRPr="008D1AC0">
        <w:rPr>
          <w:rStyle w:val="st"/>
          <w:rFonts w:asciiTheme="majorHAnsi" w:hAnsiTheme="majorHAnsi"/>
          <w:sz w:val="24"/>
          <w:szCs w:val="24"/>
        </w:rPr>
        <w:t>%</w:t>
      </w:r>
      <w:r w:rsidRPr="008D1AC0">
        <w:rPr>
          <w:rStyle w:val="st"/>
          <w:rFonts w:asciiTheme="majorHAnsi" w:hAnsiTheme="majorHAnsi"/>
          <w:sz w:val="24"/>
          <w:szCs w:val="24"/>
        </w:rPr>
        <w:t>;</w:t>
      </w:r>
      <w:r w:rsidRPr="008D1AC0">
        <w:rPr>
          <w:rStyle w:val="st"/>
          <w:rFonts w:asciiTheme="majorHAnsi" w:hAnsiTheme="majorHAnsi"/>
          <w:sz w:val="24"/>
          <w:szCs w:val="24"/>
        </w:rPr>
        <w:t xml:space="preserve"> </w:t>
      </w:r>
      <w:r w:rsidRPr="008D1AC0">
        <w:rPr>
          <w:rStyle w:val="st"/>
          <w:rFonts w:asciiTheme="majorHAnsi" w:hAnsiTheme="majorHAnsi"/>
          <w:sz w:val="24"/>
          <w:szCs w:val="24"/>
        </w:rPr>
        <w:t>15-year FRM</w:t>
      </w:r>
      <w:r w:rsidRPr="008D1AC0">
        <w:rPr>
          <w:rStyle w:val="st"/>
          <w:rFonts w:asciiTheme="majorHAnsi" w:hAnsiTheme="majorHAnsi"/>
          <w:sz w:val="24"/>
          <w:szCs w:val="24"/>
        </w:rPr>
        <w:t>,</w:t>
      </w:r>
      <w:r w:rsidRPr="008D1AC0">
        <w:rPr>
          <w:rStyle w:val="st"/>
          <w:rFonts w:asciiTheme="majorHAnsi" w:hAnsiTheme="majorHAnsi"/>
          <w:sz w:val="24"/>
          <w:szCs w:val="24"/>
        </w:rPr>
        <w:t xml:space="preserve"> 4.2</w:t>
      </w:r>
      <w:r w:rsidRPr="008D1AC0">
        <w:rPr>
          <w:rStyle w:val="st"/>
          <w:rFonts w:asciiTheme="majorHAnsi" w:hAnsiTheme="majorHAnsi"/>
          <w:sz w:val="24"/>
          <w:szCs w:val="24"/>
        </w:rPr>
        <w:t>5%</w:t>
      </w:r>
      <w:r w:rsidRPr="008D1AC0">
        <w:rPr>
          <w:rStyle w:val="st"/>
          <w:rFonts w:asciiTheme="majorHAnsi" w:hAnsiTheme="majorHAnsi"/>
          <w:sz w:val="24"/>
          <w:szCs w:val="24"/>
        </w:rPr>
        <w:t>; 5/1-year ARM, 4.12%.</w:t>
      </w:r>
      <w:bookmarkEnd w:id="1"/>
      <w:r w:rsidRPr="008D1AC0">
        <w:rPr>
          <w:rStyle w:val="st"/>
          <w:rFonts w:asciiTheme="majorHAnsi" w:hAnsiTheme="majorHAnsi"/>
          <w:sz w:val="24"/>
          <w:szCs w:val="24"/>
        </w:rPr>
        <w:t xml:space="preserve"> By the December 27 </w:t>
      </w:r>
      <w:r w:rsidRPr="008059E3">
        <w:rPr>
          <w:rStyle w:val="st"/>
          <w:rFonts w:asciiTheme="majorHAnsi" w:hAnsiTheme="majorHAnsi"/>
          <w:sz w:val="24"/>
          <w:szCs w:val="24"/>
        </w:rPr>
        <w:t xml:space="preserve">Freddie Mac </w:t>
      </w:r>
      <w:r w:rsidRPr="008059E3">
        <w:rPr>
          <w:rStyle w:val="st"/>
          <w:rFonts w:asciiTheme="majorHAnsi" w:hAnsiTheme="majorHAnsi"/>
          <w:sz w:val="24"/>
          <w:szCs w:val="24"/>
        </w:rPr>
        <w:t>survey, everything was cheaper: 30-year FRM, 4.</w:t>
      </w:r>
      <w:r w:rsidRPr="008059E3">
        <w:rPr>
          <w:rStyle w:val="st"/>
          <w:rFonts w:asciiTheme="majorHAnsi" w:hAnsiTheme="majorHAnsi"/>
          <w:sz w:val="24"/>
          <w:szCs w:val="24"/>
        </w:rPr>
        <w:t>55</w:t>
      </w:r>
      <w:r w:rsidRPr="008059E3">
        <w:rPr>
          <w:rStyle w:val="st"/>
          <w:rFonts w:asciiTheme="majorHAnsi" w:hAnsiTheme="majorHAnsi"/>
          <w:sz w:val="24"/>
          <w:szCs w:val="24"/>
        </w:rPr>
        <w:t>%; 15-year FRM, 4.</w:t>
      </w:r>
      <w:r w:rsidRPr="008059E3">
        <w:rPr>
          <w:rStyle w:val="st"/>
          <w:rFonts w:asciiTheme="majorHAnsi" w:hAnsiTheme="majorHAnsi"/>
          <w:sz w:val="24"/>
          <w:szCs w:val="24"/>
        </w:rPr>
        <w:t>01</w:t>
      </w:r>
      <w:r w:rsidRPr="008059E3">
        <w:rPr>
          <w:rStyle w:val="st"/>
          <w:rFonts w:asciiTheme="majorHAnsi" w:hAnsiTheme="majorHAnsi"/>
          <w:sz w:val="24"/>
          <w:szCs w:val="24"/>
        </w:rPr>
        <w:t>%; 5/1-year ARM, 4.</w:t>
      </w:r>
      <w:r w:rsidRPr="008059E3">
        <w:rPr>
          <w:rStyle w:val="st"/>
          <w:rFonts w:asciiTheme="majorHAnsi" w:hAnsiTheme="majorHAnsi"/>
          <w:sz w:val="24"/>
          <w:szCs w:val="24"/>
        </w:rPr>
        <w:t>00</w:t>
      </w:r>
      <w:r w:rsidRPr="008059E3">
        <w:rPr>
          <w:rStyle w:val="st"/>
          <w:rFonts w:asciiTheme="majorHAnsi" w:hAnsiTheme="majorHAnsi"/>
          <w:sz w:val="24"/>
          <w:szCs w:val="24"/>
        </w:rPr>
        <w:t>%.</w:t>
      </w:r>
      <w:r>
        <w:rPr>
          <w:rStyle w:val="st"/>
          <w:rFonts w:asciiTheme="majorHAnsi" w:hAnsiTheme="majorHAnsi"/>
          <w:sz w:val="24"/>
          <w:szCs w:val="24"/>
          <w:vertAlign w:val="superscript"/>
        </w:rPr>
        <w:t>17</w:t>
      </w:r>
    </w:p>
    <w:p w:rsidR="00775662" w:rsidRPr="008059E3" w:rsidRDefault="00AA1FA2" w:rsidP="00512529">
      <w:pPr>
        <w:spacing w:line="276" w:lineRule="auto"/>
        <w:jc w:val="both"/>
        <w:rPr>
          <w:rStyle w:val="st"/>
          <w:rFonts w:asciiTheme="majorHAnsi" w:hAnsiTheme="majorHAnsi"/>
          <w:sz w:val="24"/>
          <w:szCs w:val="24"/>
        </w:rPr>
      </w:pPr>
      <w:r w:rsidRPr="008059E3">
        <w:rPr>
          <w:rStyle w:val="st"/>
          <w:rFonts w:asciiTheme="majorHAnsi" w:hAnsiTheme="majorHAnsi"/>
          <w:sz w:val="24"/>
          <w:szCs w:val="24"/>
        </w:rPr>
        <w:t>The NAR reported a median existing</w:t>
      </w:r>
      <w:r w:rsidRPr="008059E3">
        <w:rPr>
          <w:rStyle w:val="st"/>
          <w:rFonts w:asciiTheme="majorHAnsi" w:hAnsiTheme="majorHAnsi"/>
          <w:sz w:val="24"/>
          <w:szCs w:val="24"/>
        </w:rPr>
        <w:t xml:space="preserve"> home</w:t>
      </w:r>
      <w:r w:rsidRPr="008059E3">
        <w:rPr>
          <w:rStyle w:val="st"/>
          <w:rFonts w:asciiTheme="majorHAnsi" w:hAnsiTheme="majorHAnsi"/>
          <w:sz w:val="24"/>
          <w:szCs w:val="24"/>
        </w:rPr>
        <w:t xml:space="preserve"> sale price of $257,700 in November, up 4.2% from November 2017. </w:t>
      </w:r>
      <w:r w:rsidRPr="008059E3">
        <w:rPr>
          <w:rStyle w:val="st"/>
          <w:rFonts w:asciiTheme="majorHAnsi" w:hAnsiTheme="majorHAnsi"/>
          <w:sz w:val="24"/>
          <w:szCs w:val="24"/>
        </w:rPr>
        <w:t xml:space="preserve">Another key measure of annualized gains, the </w:t>
      </w:r>
      <w:r w:rsidRPr="008059E3">
        <w:rPr>
          <w:rStyle w:val="st"/>
          <w:rFonts w:asciiTheme="majorHAnsi" w:hAnsiTheme="majorHAnsi"/>
          <w:sz w:val="24"/>
          <w:szCs w:val="24"/>
        </w:rPr>
        <w:t xml:space="preserve">20-city </w:t>
      </w:r>
      <w:r w:rsidRPr="008059E3">
        <w:rPr>
          <w:rStyle w:val="st"/>
          <w:rFonts w:asciiTheme="majorHAnsi" w:hAnsiTheme="majorHAnsi"/>
          <w:sz w:val="24"/>
          <w:szCs w:val="24"/>
        </w:rPr>
        <w:t xml:space="preserve">composite </w:t>
      </w:r>
      <w:r w:rsidRPr="008059E3">
        <w:rPr>
          <w:rStyle w:val="st"/>
          <w:rFonts w:asciiTheme="majorHAnsi" w:hAnsiTheme="majorHAnsi"/>
          <w:sz w:val="24"/>
          <w:szCs w:val="24"/>
        </w:rPr>
        <w:t>S&amp;P CoreLogic Case-Shiller home price index</w:t>
      </w:r>
      <w:r w:rsidRPr="008059E3">
        <w:rPr>
          <w:rStyle w:val="st"/>
          <w:rFonts w:asciiTheme="majorHAnsi" w:hAnsiTheme="majorHAnsi"/>
          <w:sz w:val="24"/>
          <w:szCs w:val="24"/>
        </w:rPr>
        <w:t>, had risen 5.0% year-over-year through October</w:t>
      </w:r>
      <w:r w:rsidRPr="008059E3">
        <w:rPr>
          <w:rStyle w:val="st"/>
          <w:rFonts w:asciiTheme="majorHAnsi" w:hAnsiTheme="majorHAnsi"/>
          <w:sz w:val="24"/>
          <w:szCs w:val="24"/>
        </w:rPr>
        <w:t>.</w:t>
      </w:r>
      <w:r w:rsidRPr="008059E3">
        <w:rPr>
          <w:rStyle w:val="st"/>
          <w:rFonts w:asciiTheme="majorHAnsi" w:hAnsiTheme="majorHAnsi"/>
          <w:sz w:val="24"/>
          <w:szCs w:val="24"/>
          <w:vertAlign w:val="superscript"/>
        </w:rPr>
        <w:t>1</w:t>
      </w:r>
      <w:r>
        <w:rPr>
          <w:rStyle w:val="st"/>
          <w:rFonts w:asciiTheme="majorHAnsi" w:hAnsiTheme="majorHAnsi"/>
          <w:sz w:val="24"/>
          <w:szCs w:val="24"/>
          <w:vertAlign w:val="superscript"/>
        </w:rPr>
        <w:t>8,19</w:t>
      </w:r>
    </w:p>
    <w:p w:rsidR="00E24345" w:rsidRPr="00DD38C0" w:rsidRDefault="00AA1FA2" w:rsidP="00EE6BF2">
      <w:pPr>
        <w:spacing w:line="276" w:lineRule="auto"/>
        <w:rPr>
          <w:rStyle w:val="st"/>
          <w:rFonts w:asciiTheme="majorHAnsi" w:hAnsiTheme="majorHAnsi"/>
          <w:sz w:val="4"/>
        </w:rPr>
      </w:pPr>
    </w:p>
    <w:p w:rsidR="006D5A63" w:rsidRDefault="00AA1FA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AA1FA2" w:rsidP="00EE6BF2">
      <w:pPr>
        <w:spacing w:line="276" w:lineRule="auto"/>
        <w:jc w:val="center"/>
        <w:rPr>
          <w:rStyle w:val="st"/>
          <w:rFonts w:asciiTheme="majorHAnsi" w:hAnsiTheme="majorHAnsi"/>
          <w:color w:val="E88E0A"/>
          <w:sz w:val="4"/>
        </w:rPr>
      </w:pPr>
    </w:p>
    <w:p w:rsidR="006D5A63" w:rsidRPr="00DD38C0" w:rsidRDefault="00AA1FA2"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w:t>
      </w:r>
      <w:r w:rsidRPr="007C2813">
        <w:rPr>
          <w:rStyle w:val="st"/>
          <w:rFonts w:asciiTheme="majorHAnsi" w:hAnsiTheme="majorHAnsi"/>
          <w:color w:val="3E7BB6"/>
        </w:rPr>
        <w:t xml:space="preserve"> T H</w:t>
      </w:r>
      <w:r>
        <w:rPr>
          <w:rStyle w:val="st"/>
          <w:rFonts w:asciiTheme="majorHAnsi" w:hAnsiTheme="majorHAnsi"/>
          <w:color w:val="E88E0A"/>
        </w:rPr>
        <w:br/>
      </w:r>
    </w:p>
    <w:p w:rsidR="006D5A63" w:rsidRDefault="00AA1FA2"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7B562C" w:rsidRDefault="00AA1FA2" w:rsidP="00EE6BF2">
      <w:pPr>
        <w:spacing w:line="276" w:lineRule="auto"/>
        <w:jc w:val="center"/>
        <w:rPr>
          <w:rStyle w:val="st"/>
          <w:rFonts w:asciiTheme="majorHAnsi" w:hAnsiTheme="majorHAnsi"/>
          <w:i/>
          <w:sz w:val="28"/>
        </w:rPr>
      </w:pPr>
      <w:r w:rsidRPr="00DD38C0">
        <w:rPr>
          <w:rStyle w:val="st"/>
          <w:rFonts w:asciiTheme="majorHAnsi" w:hAnsiTheme="majorHAnsi"/>
          <w:sz w:val="6"/>
        </w:rPr>
        <w:br/>
      </w:r>
      <w:r w:rsidRPr="007B562C">
        <w:rPr>
          <w:rStyle w:val="st"/>
          <w:rFonts w:asciiTheme="majorHAnsi" w:hAnsiTheme="majorHAnsi"/>
          <w:i/>
          <w:sz w:val="28"/>
        </w:rPr>
        <w:t xml:space="preserve">If you have a high-interest credit card, you may want to search to see if you can </w:t>
      </w:r>
      <w:r w:rsidRPr="007B562C">
        <w:rPr>
          <w:rStyle w:val="st"/>
          <w:rFonts w:asciiTheme="majorHAnsi" w:hAnsiTheme="majorHAnsi"/>
          <w:b/>
          <w:i/>
          <w:sz w:val="28"/>
        </w:rPr>
        <w:t>refinance the balance</w:t>
      </w:r>
      <w:r w:rsidRPr="007B562C">
        <w:rPr>
          <w:rStyle w:val="st"/>
          <w:rFonts w:asciiTheme="majorHAnsi" w:hAnsiTheme="majorHAnsi"/>
          <w:i/>
          <w:sz w:val="28"/>
        </w:rPr>
        <w:t xml:space="preserve"> to a </w:t>
      </w:r>
      <w:r w:rsidRPr="007B562C">
        <w:rPr>
          <w:rStyle w:val="st"/>
          <w:rFonts w:asciiTheme="majorHAnsi" w:hAnsiTheme="majorHAnsi"/>
          <w:b/>
          <w:i/>
          <w:sz w:val="28"/>
        </w:rPr>
        <w:t>lower-interest card</w:t>
      </w:r>
      <w:r w:rsidRPr="007B562C">
        <w:rPr>
          <w:rStyle w:val="st"/>
          <w:rFonts w:asciiTheme="majorHAnsi" w:hAnsiTheme="majorHAnsi"/>
          <w:i/>
          <w:sz w:val="28"/>
        </w:rPr>
        <w:t xml:space="preserve">. A lower-interest card means a greater percentage of your payments will be applied to principal rather than </w:t>
      </w:r>
      <w:r w:rsidRPr="007B562C">
        <w:rPr>
          <w:rStyle w:val="st"/>
          <w:rFonts w:asciiTheme="majorHAnsi" w:hAnsiTheme="majorHAnsi"/>
          <w:i/>
          <w:sz w:val="28"/>
        </w:rPr>
        <w:t>interest</w:t>
      </w:r>
      <w:r w:rsidRPr="007B562C">
        <w:rPr>
          <w:rStyle w:val="st"/>
          <w:rFonts w:asciiTheme="majorHAnsi" w:hAnsiTheme="majorHAnsi"/>
          <w:i/>
          <w:sz w:val="28"/>
        </w:rPr>
        <w:t>.</w:t>
      </w:r>
    </w:p>
    <w:p w:rsidR="006D5A63" w:rsidRPr="00DD38C0" w:rsidRDefault="00AA1FA2" w:rsidP="00EE6BF2">
      <w:pPr>
        <w:spacing w:line="276" w:lineRule="auto"/>
        <w:jc w:val="center"/>
        <w:rPr>
          <w:rStyle w:val="st"/>
          <w:rFonts w:asciiTheme="majorHAnsi" w:hAnsiTheme="majorHAnsi"/>
          <w:i/>
          <w:color w:val="E88E0A"/>
          <w:sz w:val="4"/>
        </w:rPr>
      </w:pPr>
    </w:p>
    <w:p w:rsidR="00E24345" w:rsidRDefault="00AA1FA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AA1FA2" w:rsidP="00EE6BF2">
      <w:pPr>
        <w:spacing w:line="276" w:lineRule="auto"/>
        <w:rPr>
          <w:rFonts w:asciiTheme="majorHAnsi" w:hAnsiTheme="majorHAnsi"/>
          <w:b/>
          <w:color w:val="E88E0A"/>
          <w:spacing w:val="-2"/>
          <w:sz w:val="8"/>
        </w:rPr>
      </w:pPr>
    </w:p>
    <w:p w:rsidR="00775662" w:rsidRPr="007A5A6C" w:rsidRDefault="00AA1FA2" w:rsidP="00EE6BF2">
      <w:pPr>
        <w:spacing w:line="276" w:lineRule="auto"/>
        <w:rPr>
          <w:rFonts w:asciiTheme="majorHAnsi" w:hAnsiTheme="majorHAnsi"/>
          <w:b/>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775662" w:rsidRPr="007A5A6C" w:rsidRDefault="00AA1FA2" w:rsidP="00B70920">
      <w:pPr>
        <w:spacing w:line="276" w:lineRule="auto"/>
        <w:rPr>
          <w:rStyle w:val="st"/>
          <w:rFonts w:asciiTheme="majorHAnsi" w:hAnsiTheme="majorHAnsi"/>
          <w:sz w:val="24"/>
        </w:rPr>
      </w:pPr>
      <w:r w:rsidRPr="007A5A6C">
        <w:rPr>
          <w:rStyle w:val="st"/>
          <w:rFonts w:asciiTheme="majorHAnsi" w:hAnsiTheme="majorHAnsi"/>
          <w:sz w:val="24"/>
        </w:rPr>
        <w:t xml:space="preserve">During one of the most volatile months in recent Wall Street </w:t>
      </w:r>
      <w:r w:rsidRPr="007A5A6C">
        <w:rPr>
          <w:rStyle w:val="st"/>
          <w:rFonts w:asciiTheme="majorHAnsi" w:hAnsiTheme="majorHAnsi"/>
          <w:sz w:val="24"/>
        </w:rPr>
        <w:t>history</w:t>
      </w:r>
      <w:r w:rsidRPr="007A5A6C">
        <w:rPr>
          <w:rStyle w:val="st"/>
          <w:rFonts w:asciiTheme="majorHAnsi" w:hAnsiTheme="majorHAnsi"/>
          <w:sz w:val="24"/>
        </w:rPr>
        <w:t xml:space="preserve">, the </w:t>
      </w:r>
      <w:r w:rsidRPr="007A5A6C">
        <w:rPr>
          <w:rStyle w:val="st"/>
          <w:rFonts w:asciiTheme="majorHAnsi" w:hAnsiTheme="majorHAnsi"/>
          <w:sz w:val="24"/>
        </w:rPr>
        <w:t xml:space="preserve">S&amp;P 500 had nine intraday </w:t>
      </w:r>
      <w:r w:rsidRPr="007A5A6C">
        <w:rPr>
          <w:rStyle w:val="st"/>
          <w:rFonts w:asciiTheme="majorHAnsi" w:hAnsiTheme="majorHAnsi"/>
          <w:sz w:val="24"/>
        </w:rPr>
        <w:t>moves</w:t>
      </w:r>
      <w:r w:rsidRPr="007A5A6C">
        <w:rPr>
          <w:rStyle w:val="st"/>
          <w:rFonts w:asciiTheme="majorHAnsi" w:hAnsiTheme="majorHAnsi"/>
          <w:sz w:val="24"/>
        </w:rPr>
        <w:t xml:space="preserve"> of at least 1% (as opposed to eight such </w:t>
      </w:r>
      <w:r w:rsidRPr="007A5A6C">
        <w:rPr>
          <w:rStyle w:val="st"/>
          <w:rFonts w:asciiTheme="majorHAnsi" w:hAnsiTheme="majorHAnsi"/>
          <w:sz w:val="24"/>
        </w:rPr>
        <w:t>instances</w:t>
      </w:r>
      <w:r w:rsidRPr="007A5A6C">
        <w:rPr>
          <w:rStyle w:val="st"/>
          <w:rFonts w:asciiTheme="majorHAnsi" w:hAnsiTheme="majorHAnsi"/>
          <w:sz w:val="24"/>
        </w:rPr>
        <w:t xml:space="preserve"> during all of 2017), and the </w:t>
      </w:r>
      <w:r w:rsidRPr="007A5A6C">
        <w:rPr>
          <w:rStyle w:val="st"/>
          <w:rFonts w:asciiTheme="majorHAnsi" w:hAnsiTheme="majorHAnsi"/>
          <w:sz w:val="24"/>
        </w:rPr>
        <w:t xml:space="preserve">Dow Jones Industrial Average </w:t>
      </w:r>
      <w:r w:rsidRPr="007A5A6C">
        <w:rPr>
          <w:rStyle w:val="st"/>
          <w:rFonts w:asciiTheme="majorHAnsi" w:hAnsiTheme="majorHAnsi"/>
          <w:sz w:val="24"/>
        </w:rPr>
        <w:t>gained 1,000 points in a day for the first time</w:t>
      </w:r>
      <w:r w:rsidRPr="007A5A6C">
        <w:rPr>
          <w:rStyle w:val="st"/>
          <w:rFonts w:asciiTheme="majorHAnsi" w:hAnsiTheme="majorHAnsi"/>
          <w:sz w:val="24"/>
        </w:rPr>
        <w:t>.</w:t>
      </w:r>
      <w:r w:rsidRPr="007A5A6C">
        <w:rPr>
          <w:rStyle w:val="st"/>
          <w:rFonts w:asciiTheme="majorHAnsi" w:hAnsiTheme="majorHAnsi"/>
          <w:sz w:val="24"/>
        </w:rPr>
        <w:t xml:space="preserve"> The ups and downs tested the patience of investors large and small. When the month ended,</w:t>
      </w:r>
      <w:r w:rsidRPr="007A5A6C">
        <w:rPr>
          <w:rStyle w:val="st"/>
          <w:rFonts w:asciiTheme="majorHAnsi" w:hAnsiTheme="majorHAnsi"/>
          <w:sz w:val="24"/>
        </w:rPr>
        <w:t xml:space="preserve"> the most esteemed Wall Street indices</w:t>
      </w:r>
      <w:r w:rsidRPr="007A5A6C">
        <w:rPr>
          <w:rStyle w:val="st"/>
          <w:rFonts w:asciiTheme="majorHAnsi" w:hAnsiTheme="majorHAnsi"/>
          <w:sz w:val="24"/>
        </w:rPr>
        <w:t xml:space="preserve"> were </w:t>
      </w:r>
      <w:r w:rsidRPr="007A5A6C">
        <w:rPr>
          <w:rStyle w:val="st"/>
          <w:rFonts w:asciiTheme="majorHAnsi" w:hAnsiTheme="majorHAnsi"/>
          <w:sz w:val="24"/>
        </w:rPr>
        <w:t>considerably</w:t>
      </w:r>
      <w:r w:rsidRPr="007A5A6C">
        <w:rPr>
          <w:rStyle w:val="st"/>
          <w:rFonts w:asciiTheme="majorHAnsi" w:hAnsiTheme="majorHAnsi"/>
          <w:sz w:val="24"/>
        </w:rPr>
        <w:t xml:space="preserve"> lo</w:t>
      </w:r>
      <w:r w:rsidRPr="007A5A6C">
        <w:rPr>
          <w:rStyle w:val="st"/>
          <w:rFonts w:asciiTheme="majorHAnsi" w:hAnsiTheme="majorHAnsi"/>
          <w:sz w:val="24"/>
        </w:rPr>
        <w:t xml:space="preserve">wer. The S&amp;P 500 ended the year at </w:t>
      </w:r>
      <w:r w:rsidRPr="00B91D44">
        <w:rPr>
          <w:rStyle w:val="st"/>
          <w:rFonts w:asciiTheme="majorHAnsi" w:hAnsiTheme="majorHAnsi"/>
          <w:sz w:val="24"/>
        </w:rPr>
        <w:t>2,506.85; the Dow, at 23,327.46; the Nasdaq Composite, at 6,635.</w:t>
      </w:r>
      <w:r w:rsidRPr="007A5A6C">
        <w:rPr>
          <w:rStyle w:val="st"/>
          <w:rFonts w:asciiTheme="majorHAnsi" w:hAnsiTheme="majorHAnsi"/>
          <w:sz w:val="24"/>
        </w:rPr>
        <w:t xml:space="preserve">28. The small-cap Russell 2000 wrapped up 2018 </w:t>
      </w:r>
      <w:r w:rsidRPr="007A5A6C">
        <w:rPr>
          <w:rStyle w:val="st"/>
          <w:rFonts w:asciiTheme="majorHAnsi" w:hAnsiTheme="majorHAnsi"/>
          <w:sz w:val="24"/>
        </w:rPr>
        <w:lastRenderedPageBreak/>
        <w:t xml:space="preserve">at 1,348.56, taking a 12.94% December fall and losing 12.18% for the year. The CBOE VIX soared 54.62% for the </w:t>
      </w:r>
      <w:r w:rsidRPr="007A5A6C">
        <w:rPr>
          <w:rStyle w:val="st"/>
          <w:rFonts w:asciiTheme="majorHAnsi" w:hAnsiTheme="majorHAnsi"/>
          <w:sz w:val="24"/>
        </w:rPr>
        <w:t>month and 130.25% for 2018, settling at 25.42 on December 31.</w:t>
      </w:r>
      <w:r>
        <w:rPr>
          <w:rStyle w:val="st"/>
          <w:rFonts w:asciiTheme="majorHAnsi" w:hAnsiTheme="majorHAnsi"/>
          <w:sz w:val="24"/>
          <w:vertAlign w:val="superscript"/>
        </w:rPr>
        <w:t>1,20</w:t>
      </w:r>
    </w:p>
    <w:tbl>
      <w:tblPr>
        <w:tblW w:w="4875" w:type="pct"/>
        <w:jc w:val="center"/>
        <w:tblLook w:val="04A0" w:firstRow="1" w:lastRow="0" w:firstColumn="1" w:lastColumn="0" w:noHBand="0" w:noVBand="1"/>
      </w:tblPr>
      <w:tblGrid>
        <w:gridCol w:w="2247"/>
        <w:gridCol w:w="2247"/>
        <w:gridCol w:w="2247"/>
        <w:gridCol w:w="2245"/>
      </w:tblGrid>
      <w:tr w:rsidR="00561F86"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AA1FA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rsidR="000050A3" w:rsidRPr="006D5A63" w:rsidRDefault="00AA1FA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rsidR="000050A3" w:rsidRPr="006D5A63" w:rsidRDefault="00AA1FA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0050A3" w:rsidRPr="006D5A63" w:rsidRDefault="00AA1FA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2017</w:t>
            </w:r>
          </w:p>
        </w:tc>
      </w:tr>
      <w:tr w:rsidR="00561F86"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6D5A63" w:rsidRDefault="00AA1FA2" w:rsidP="0020167B">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F272A8" w:rsidRDefault="00AA1FA2"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5.63</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F272A8" w:rsidRDefault="00AA1FA2"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9</w:t>
            </w: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6</w:t>
            </w:r>
            <w:r w:rsidRPr="00F272A8">
              <w:rPr>
                <w:rFonts w:ascii="Calibri Light" w:eastAsia="Times New Roman" w:hAnsi="Calibri Light" w:cs="Times New Roman"/>
                <w:szCs w:val="20"/>
              </w:rPr>
              <w:t>8</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F272A8" w:rsidRDefault="00AA1FA2"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25.08</w:t>
            </w:r>
          </w:p>
        </w:tc>
      </w:tr>
      <w:tr w:rsidR="00561F86"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0050A3" w:rsidRPr="006D5A63" w:rsidRDefault="00AA1FA2" w:rsidP="0020167B">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0050A3" w:rsidRPr="00F272A8" w:rsidRDefault="00AA1FA2"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3.88</w:t>
            </w:r>
          </w:p>
        </w:tc>
        <w:tc>
          <w:tcPr>
            <w:tcW w:w="1250" w:type="pct"/>
            <w:tcBorders>
              <w:top w:val="nil"/>
              <w:left w:val="nil"/>
              <w:bottom w:val="single" w:sz="4" w:space="0" w:color="A5A5A5"/>
              <w:right w:val="single" w:sz="4" w:space="0" w:color="A5A5A5"/>
            </w:tcBorders>
            <w:shd w:val="clear" w:color="000000" w:fill="F2F2F2"/>
            <w:vAlign w:val="center"/>
            <w:hideMark/>
          </w:tcPr>
          <w:p w:rsidR="000050A3" w:rsidRPr="00F272A8" w:rsidRDefault="00AA1FA2"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10.83</w:t>
            </w:r>
          </w:p>
        </w:tc>
        <w:tc>
          <w:tcPr>
            <w:tcW w:w="1249" w:type="pct"/>
            <w:tcBorders>
              <w:top w:val="nil"/>
              <w:left w:val="nil"/>
              <w:bottom w:val="single" w:sz="4" w:space="0" w:color="A5A5A5"/>
              <w:right w:val="single" w:sz="4" w:space="0" w:color="A5A5A5"/>
            </w:tcBorders>
            <w:shd w:val="clear" w:color="000000" w:fill="F2F2F2"/>
            <w:vAlign w:val="center"/>
            <w:hideMark/>
          </w:tcPr>
          <w:p w:rsidR="000050A3" w:rsidRPr="00F272A8" w:rsidRDefault="00AA1FA2"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28.24</w:t>
            </w:r>
          </w:p>
        </w:tc>
      </w:tr>
      <w:tr w:rsidR="00561F86"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0050A3" w:rsidRPr="006D5A63" w:rsidRDefault="00AA1FA2" w:rsidP="0020167B">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rsidR="000050A3" w:rsidRPr="00F272A8" w:rsidRDefault="00AA1FA2"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6.24</w:t>
            </w:r>
          </w:p>
        </w:tc>
        <w:tc>
          <w:tcPr>
            <w:tcW w:w="1250" w:type="pct"/>
            <w:tcBorders>
              <w:top w:val="nil"/>
              <w:left w:val="nil"/>
              <w:bottom w:val="single" w:sz="4" w:space="0" w:color="A5A5A5"/>
              <w:right w:val="single" w:sz="4" w:space="0" w:color="A5A5A5"/>
            </w:tcBorders>
            <w:shd w:val="clear" w:color="000000" w:fill="F2F2F2"/>
            <w:vAlign w:val="center"/>
            <w:hideMark/>
          </w:tcPr>
          <w:p w:rsidR="000050A3" w:rsidRPr="00F272A8" w:rsidRDefault="00AA1FA2"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10.16</w:t>
            </w:r>
          </w:p>
        </w:tc>
        <w:tc>
          <w:tcPr>
            <w:tcW w:w="1249" w:type="pct"/>
            <w:tcBorders>
              <w:top w:val="nil"/>
              <w:left w:val="nil"/>
              <w:bottom w:val="single" w:sz="4" w:space="0" w:color="A5A5A5"/>
              <w:right w:val="single" w:sz="4" w:space="0" w:color="A5A5A5"/>
            </w:tcBorders>
            <w:shd w:val="clear" w:color="000000" w:fill="F2F2F2"/>
            <w:vAlign w:val="center"/>
            <w:hideMark/>
          </w:tcPr>
          <w:p w:rsidR="000050A3" w:rsidRPr="00F272A8" w:rsidRDefault="00AA1FA2"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19.42</w:t>
            </w:r>
          </w:p>
        </w:tc>
      </w:tr>
      <w:tr w:rsidR="00561F86"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AA1FA2" w:rsidP="0020167B">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0050A3" w:rsidRPr="006D5A63" w:rsidRDefault="00AA1FA2" w:rsidP="0020167B">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rsidR="000050A3" w:rsidRPr="006D5A63" w:rsidRDefault="00AA1FA2" w:rsidP="0020167B">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rsidR="000050A3" w:rsidRPr="006D5A63" w:rsidRDefault="00AA1FA2" w:rsidP="0020167B">
            <w:pPr>
              <w:spacing w:after="0" w:line="276" w:lineRule="auto"/>
              <w:jc w:val="center"/>
              <w:rPr>
                <w:rFonts w:ascii="Times New Roman" w:eastAsia="Times New Roman" w:hAnsi="Times New Roman" w:cs="Times New Roman"/>
                <w:szCs w:val="20"/>
              </w:rPr>
            </w:pPr>
          </w:p>
        </w:tc>
      </w:tr>
      <w:tr w:rsidR="00561F86"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AA1FA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YIELD</w:t>
            </w:r>
          </w:p>
        </w:tc>
        <w:tc>
          <w:tcPr>
            <w:tcW w:w="1250" w:type="pct"/>
            <w:tcBorders>
              <w:top w:val="nil"/>
              <w:left w:val="nil"/>
              <w:bottom w:val="nil"/>
              <w:right w:val="nil"/>
            </w:tcBorders>
            <w:shd w:val="clear" w:color="auto" w:fill="auto"/>
            <w:vAlign w:val="center"/>
            <w:hideMark/>
          </w:tcPr>
          <w:p w:rsidR="000050A3" w:rsidRPr="006D5A63" w:rsidRDefault="00AA1FA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12/31 RATE</w:t>
            </w:r>
          </w:p>
        </w:tc>
        <w:tc>
          <w:tcPr>
            <w:tcW w:w="1250" w:type="pct"/>
            <w:tcBorders>
              <w:top w:val="nil"/>
              <w:left w:val="nil"/>
              <w:bottom w:val="nil"/>
              <w:right w:val="nil"/>
            </w:tcBorders>
            <w:shd w:val="clear" w:color="auto" w:fill="auto"/>
            <w:vAlign w:val="center"/>
            <w:hideMark/>
          </w:tcPr>
          <w:p w:rsidR="000050A3" w:rsidRPr="006D5A63" w:rsidRDefault="00AA1FA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rsidR="000050A3" w:rsidRPr="006D5A63" w:rsidRDefault="00AA1FA2"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561F86"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115FAC" w:rsidRDefault="00AA1FA2" w:rsidP="0020167B">
            <w:pPr>
              <w:spacing w:after="0" w:line="276" w:lineRule="auto"/>
              <w:jc w:val="center"/>
              <w:rPr>
                <w:rFonts w:ascii="Calibri Light" w:eastAsia="Times New Roman" w:hAnsi="Calibri Light" w:cs="Times New Roman"/>
                <w:szCs w:val="20"/>
              </w:rPr>
            </w:pPr>
            <w:r w:rsidRPr="00115FAC">
              <w:rPr>
                <w:rFonts w:ascii="Calibri Light" w:eastAsia="Times New Roman" w:hAnsi="Calibri Light" w:cs="Times New Roman"/>
                <w:szCs w:val="20"/>
              </w:rPr>
              <w:t>10 YR TIPS</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FB2E14" w:rsidRDefault="00AA1FA2" w:rsidP="0020167B">
            <w:pPr>
              <w:spacing w:after="0" w:line="276" w:lineRule="auto"/>
              <w:jc w:val="center"/>
              <w:rPr>
                <w:rFonts w:ascii="Calibri Light" w:eastAsia="Times New Roman" w:hAnsi="Calibri Light" w:cs="Times New Roman"/>
                <w:szCs w:val="20"/>
              </w:rPr>
            </w:pPr>
            <w:r w:rsidRPr="00FB2E14">
              <w:rPr>
                <w:rFonts w:ascii="Calibri Light" w:eastAsia="Times New Roman" w:hAnsi="Calibri Light" w:cs="Times New Roman"/>
                <w:szCs w:val="20"/>
              </w:rPr>
              <w:t>2.69</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FB2E14" w:rsidRDefault="00AA1FA2" w:rsidP="0020167B">
            <w:pPr>
              <w:spacing w:after="0" w:line="276" w:lineRule="auto"/>
              <w:jc w:val="center"/>
              <w:rPr>
                <w:rFonts w:ascii="Calibri Light" w:eastAsia="Times New Roman" w:hAnsi="Calibri Light" w:cs="Times New Roman"/>
                <w:szCs w:val="20"/>
              </w:rPr>
            </w:pPr>
            <w:r w:rsidRPr="00FB2E14">
              <w:rPr>
                <w:rFonts w:ascii="Calibri Light" w:eastAsia="Times New Roman" w:hAnsi="Calibri Light" w:cs="Times New Roman"/>
                <w:szCs w:val="20"/>
              </w:rPr>
              <w:t>3.01</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241B9F" w:rsidRDefault="00AA1FA2"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w:t>
            </w:r>
            <w:r>
              <w:rPr>
                <w:rFonts w:ascii="Calibri Light" w:eastAsia="Times New Roman" w:hAnsi="Calibri Light" w:cs="Times New Roman"/>
                <w:szCs w:val="20"/>
              </w:rPr>
              <w:t>.</w:t>
            </w:r>
            <w:r>
              <w:rPr>
                <w:rFonts w:ascii="Calibri Light" w:eastAsia="Times New Roman" w:hAnsi="Calibri Light" w:cs="Times New Roman"/>
                <w:szCs w:val="20"/>
              </w:rPr>
              <w:t>40</w:t>
            </w:r>
          </w:p>
        </w:tc>
      </w:tr>
    </w:tbl>
    <w:p w:rsidR="00775662" w:rsidRPr="002D6595" w:rsidRDefault="00AA1FA2" w:rsidP="00EE6BF2">
      <w:pPr>
        <w:spacing w:line="276" w:lineRule="auto"/>
        <w:rPr>
          <w:rStyle w:val="st"/>
          <w:rFonts w:asciiTheme="majorHAnsi" w:hAnsiTheme="majorHAnsi"/>
          <w:color w:val="767171" w:themeColor="background2" w:themeShade="80"/>
          <w:sz w:val="4"/>
        </w:rPr>
      </w:pPr>
      <w:bookmarkStart w:id="2" w:name="_Hlk533682393"/>
    </w:p>
    <w:bookmarkEnd w:id="2"/>
    <w:p w:rsidR="00775662" w:rsidRPr="002D6595" w:rsidRDefault="00AA1FA2" w:rsidP="00EE6BF2">
      <w:pPr>
        <w:spacing w:line="276" w:lineRule="auto"/>
        <w:jc w:val="center"/>
        <w:rPr>
          <w:rFonts w:asciiTheme="majorHAnsi" w:hAnsiTheme="majorHAnsi"/>
          <w:color w:val="767171" w:themeColor="background2" w:themeShade="80"/>
          <w:sz w:val="18"/>
          <w:szCs w:val="14"/>
        </w:rPr>
      </w:pPr>
      <w:r w:rsidRPr="002D6595">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wsj</w:t>
      </w:r>
      <w:r w:rsidRPr="002D6595">
        <w:rPr>
          <w:rFonts w:asciiTheme="majorHAnsi" w:hAnsiTheme="majorHAnsi"/>
          <w:color w:val="767171" w:themeColor="background2" w:themeShade="80"/>
          <w:sz w:val="18"/>
          <w:szCs w:val="14"/>
        </w:rPr>
        <w:t>.com,</w:t>
      </w:r>
      <w:r w:rsidRPr="002D6595">
        <w:rPr>
          <w:rFonts w:asciiTheme="majorHAnsi" w:hAnsiTheme="majorHAnsi"/>
          <w:color w:val="767171" w:themeColor="background2" w:themeShade="80"/>
          <w:sz w:val="18"/>
          <w:szCs w:val="14"/>
        </w:rPr>
        <w:t xml:space="preserve"> bigcharts.com, treasury.gov -</w:t>
      </w:r>
      <w:r w:rsidRPr="00EE16DF">
        <w:rPr>
          <w:rFonts w:asciiTheme="majorHAnsi" w:hAnsiTheme="majorHAnsi"/>
          <w:color w:val="767171" w:themeColor="background2" w:themeShade="80"/>
          <w:sz w:val="18"/>
          <w:szCs w:val="14"/>
        </w:rPr>
        <w:t xml:space="preserve"> </w:t>
      </w:r>
      <w:r>
        <w:rPr>
          <w:rFonts w:asciiTheme="majorHAnsi" w:hAnsiTheme="majorHAnsi"/>
          <w:color w:val="767171" w:themeColor="background2" w:themeShade="80"/>
          <w:sz w:val="18"/>
          <w:szCs w:val="14"/>
        </w:rPr>
        <w:t>12</w:t>
      </w:r>
      <w:r w:rsidRPr="00EE16DF">
        <w:rPr>
          <w:rFonts w:asciiTheme="majorHAnsi" w:hAnsiTheme="majorHAnsi"/>
          <w:color w:val="767171" w:themeColor="background2" w:themeShade="80"/>
          <w:sz w:val="18"/>
          <w:szCs w:val="14"/>
        </w:rPr>
        <w:t>/</w:t>
      </w:r>
      <w:r w:rsidRPr="00FB2E14">
        <w:rPr>
          <w:rFonts w:asciiTheme="majorHAnsi" w:hAnsiTheme="majorHAnsi"/>
          <w:color w:val="767171" w:themeColor="background2" w:themeShade="80"/>
          <w:sz w:val="18"/>
          <w:szCs w:val="14"/>
        </w:rPr>
        <w:t>3</w:t>
      </w:r>
      <w:r w:rsidRPr="00FB2E14">
        <w:rPr>
          <w:rFonts w:asciiTheme="majorHAnsi" w:hAnsiTheme="majorHAnsi"/>
          <w:color w:val="767171" w:themeColor="background2" w:themeShade="80"/>
          <w:sz w:val="18"/>
          <w:szCs w:val="14"/>
        </w:rPr>
        <w:t>1</w:t>
      </w:r>
      <w:r w:rsidRPr="00FB2E14">
        <w:rPr>
          <w:rFonts w:asciiTheme="majorHAnsi" w:hAnsiTheme="majorHAnsi"/>
          <w:color w:val="767171" w:themeColor="background2" w:themeShade="80"/>
          <w:sz w:val="18"/>
          <w:szCs w:val="14"/>
        </w:rPr>
        <w:t>/18</w:t>
      </w:r>
      <w:r w:rsidRPr="00FB2E14">
        <w:rPr>
          <w:rFonts w:asciiTheme="majorHAnsi" w:hAnsiTheme="majorHAnsi"/>
          <w:color w:val="767171" w:themeColor="background2" w:themeShade="80"/>
          <w:sz w:val="18"/>
          <w:szCs w:val="14"/>
          <w:vertAlign w:val="superscript"/>
        </w:rPr>
        <w:t>1</w:t>
      </w:r>
      <w:r>
        <w:rPr>
          <w:rFonts w:asciiTheme="majorHAnsi" w:hAnsiTheme="majorHAnsi"/>
          <w:color w:val="767171" w:themeColor="background2" w:themeShade="80"/>
          <w:sz w:val="18"/>
          <w:szCs w:val="14"/>
          <w:vertAlign w:val="superscript"/>
        </w:rPr>
        <w:t>,</w:t>
      </w:r>
      <w:r w:rsidRPr="00FB2E14">
        <w:rPr>
          <w:rFonts w:asciiTheme="majorHAnsi" w:hAnsiTheme="majorHAnsi"/>
          <w:color w:val="767171" w:themeColor="background2" w:themeShade="80"/>
          <w:sz w:val="18"/>
          <w:szCs w:val="14"/>
          <w:vertAlign w:val="superscript"/>
        </w:rPr>
        <w:t>21</w:t>
      </w:r>
      <w:r>
        <w:rPr>
          <w:rFonts w:asciiTheme="majorHAnsi" w:hAnsiTheme="majorHAnsi"/>
          <w:color w:val="767171" w:themeColor="background2" w:themeShade="80"/>
          <w:sz w:val="18"/>
          <w:szCs w:val="14"/>
          <w:vertAlign w:val="superscript"/>
        </w:rPr>
        <w:t>,22</w:t>
      </w:r>
    </w:p>
    <w:p w:rsidR="00775662" w:rsidRDefault="00AA1FA2" w:rsidP="00EE6BF2">
      <w:pPr>
        <w:spacing w:line="276" w:lineRule="auto"/>
        <w:jc w:val="center"/>
        <w:rPr>
          <w:rFonts w:asciiTheme="majorHAnsi" w:hAnsiTheme="majorHAnsi" w:cs="Verdana"/>
          <w:iCs/>
          <w:color w:val="646464"/>
          <w:spacing w:val="-4"/>
          <w:sz w:val="18"/>
          <w:szCs w:val="14"/>
        </w:rPr>
      </w:pPr>
      <w:r w:rsidRPr="00DD38C0">
        <w:rPr>
          <w:rFonts w:asciiTheme="majorHAnsi" w:hAnsiTheme="majorHAnsi" w:cs="Verdana"/>
          <w:iCs/>
          <w:color w:val="646464"/>
          <w:spacing w:val="-4"/>
          <w:sz w:val="18"/>
          <w:szCs w:val="14"/>
        </w:rPr>
        <w:t xml:space="preserve">Indices are unmanaged, do not incur fees or expenses, and cannot be invested into directly. These returns do not include dividends. 10-year TIPS real yield = projected return at </w:t>
      </w:r>
      <w:r w:rsidRPr="00DD38C0">
        <w:rPr>
          <w:rFonts w:asciiTheme="majorHAnsi" w:hAnsiTheme="majorHAnsi" w:cs="Verdana"/>
          <w:iCs/>
          <w:color w:val="646464"/>
          <w:spacing w:val="-4"/>
          <w:sz w:val="18"/>
          <w:szCs w:val="14"/>
        </w:rPr>
        <w:t>maturity given expected inflation.</w:t>
      </w:r>
    </w:p>
    <w:p w:rsidR="002050E2" w:rsidRPr="008D3D97" w:rsidRDefault="00AA1FA2" w:rsidP="00EE6BF2">
      <w:pPr>
        <w:spacing w:line="276" w:lineRule="auto"/>
        <w:jc w:val="center"/>
        <w:rPr>
          <w:rFonts w:asciiTheme="majorHAnsi" w:hAnsiTheme="majorHAnsi" w:cs="Verdana"/>
          <w:iCs/>
          <w:spacing w:val="-4"/>
          <w:sz w:val="18"/>
          <w:szCs w:val="14"/>
        </w:rPr>
      </w:pPr>
    </w:p>
    <w:p w:rsidR="00775662" w:rsidRPr="00FF20E1" w:rsidRDefault="00AA1FA2" w:rsidP="00FF0042">
      <w:pPr>
        <w:spacing w:line="276" w:lineRule="auto"/>
        <w:jc w:val="both"/>
        <w:rPr>
          <w:rFonts w:asciiTheme="majorHAnsi" w:hAnsiTheme="majorHAnsi"/>
          <w:color w:val="ED7D31" w:themeColor="accent2"/>
          <w:sz w:val="24"/>
        </w:rPr>
      </w:pPr>
      <w:r w:rsidRPr="003A1671">
        <w:rPr>
          <w:rStyle w:val="st"/>
          <w:rFonts w:asciiTheme="majorHAnsi" w:hAnsiTheme="majorHAnsi"/>
          <w:sz w:val="24"/>
        </w:rPr>
        <w:t xml:space="preserve">At this </w:t>
      </w:r>
      <w:r>
        <w:rPr>
          <w:rStyle w:val="st"/>
          <w:rFonts w:asciiTheme="majorHAnsi" w:hAnsiTheme="majorHAnsi"/>
          <w:sz w:val="24"/>
        </w:rPr>
        <w:t>moment</w:t>
      </w:r>
      <w:r w:rsidRPr="003A1671">
        <w:rPr>
          <w:rStyle w:val="st"/>
          <w:rFonts w:asciiTheme="majorHAnsi" w:hAnsiTheme="majorHAnsi"/>
          <w:sz w:val="24"/>
        </w:rPr>
        <w:t>, investors old and young are looking at their portfolios and wondering what move</w:t>
      </w:r>
      <w:r>
        <w:rPr>
          <w:rStyle w:val="st"/>
          <w:rFonts w:asciiTheme="majorHAnsi" w:hAnsiTheme="majorHAnsi"/>
          <w:sz w:val="24"/>
        </w:rPr>
        <w:t>s</w:t>
      </w:r>
      <w:r w:rsidRPr="003A1671">
        <w:rPr>
          <w:rStyle w:val="st"/>
          <w:rFonts w:asciiTheme="majorHAnsi" w:hAnsiTheme="majorHAnsi"/>
          <w:sz w:val="24"/>
        </w:rPr>
        <w:t xml:space="preserve"> </w:t>
      </w:r>
      <w:r>
        <w:rPr>
          <w:rStyle w:val="st"/>
          <w:rFonts w:asciiTheme="majorHAnsi" w:hAnsiTheme="majorHAnsi"/>
          <w:sz w:val="24"/>
        </w:rPr>
        <w:t>might be appropriate</w:t>
      </w:r>
      <w:r w:rsidRPr="003A1671">
        <w:rPr>
          <w:rStyle w:val="st"/>
          <w:rFonts w:asciiTheme="majorHAnsi" w:hAnsiTheme="majorHAnsi"/>
          <w:sz w:val="24"/>
        </w:rPr>
        <w:t>. How about no move</w:t>
      </w:r>
      <w:r>
        <w:rPr>
          <w:rStyle w:val="st"/>
          <w:rFonts w:asciiTheme="majorHAnsi" w:hAnsiTheme="majorHAnsi"/>
          <w:sz w:val="24"/>
        </w:rPr>
        <w:t>s</w:t>
      </w:r>
      <w:r w:rsidRPr="003A1671">
        <w:rPr>
          <w:rStyle w:val="st"/>
          <w:rFonts w:asciiTheme="majorHAnsi" w:hAnsiTheme="majorHAnsi"/>
          <w:sz w:val="24"/>
        </w:rPr>
        <w:t xml:space="preserve"> at all? </w:t>
      </w:r>
      <w:r>
        <w:rPr>
          <w:rStyle w:val="st"/>
          <w:rFonts w:asciiTheme="majorHAnsi" w:hAnsiTheme="majorHAnsi"/>
          <w:sz w:val="24"/>
        </w:rPr>
        <w:t xml:space="preserve">At its core, a </w:t>
      </w:r>
      <w:r w:rsidRPr="003A1671">
        <w:rPr>
          <w:rStyle w:val="st"/>
          <w:rFonts w:asciiTheme="majorHAnsi" w:hAnsiTheme="majorHAnsi"/>
          <w:sz w:val="24"/>
        </w:rPr>
        <w:t>saving and investment strategy for a pre-retiree is develop</w:t>
      </w:r>
      <w:r w:rsidRPr="003A1671">
        <w:rPr>
          <w:rStyle w:val="st"/>
          <w:rFonts w:asciiTheme="majorHAnsi" w:hAnsiTheme="majorHAnsi"/>
          <w:sz w:val="24"/>
        </w:rPr>
        <w:t>ed based on risk tolerance, time horizon, and goals</w:t>
      </w:r>
      <w:r>
        <w:rPr>
          <w:rStyle w:val="st"/>
          <w:rFonts w:asciiTheme="majorHAnsi" w:hAnsiTheme="majorHAnsi"/>
          <w:sz w:val="24"/>
        </w:rPr>
        <w:t>, and that</w:t>
      </w:r>
      <w:r w:rsidRPr="003A1671">
        <w:rPr>
          <w:rStyle w:val="st"/>
          <w:rFonts w:asciiTheme="majorHAnsi" w:hAnsiTheme="majorHAnsi"/>
          <w:sz w:val="24"/>
        </w:rPr>
        <w:t xml:space="preserve"> big-picture approach takes</w:t>
      </w:r>
      <w:r>
        <w:rPr>
          <w:rStyle w:val="st"/>
          <w:rFonts w:asciiTheme="majorHAnsi" w:hAnsiTheme="majorHAnsi"/>
          <w:sz w:val="24"/>
        </w:rPr>
        <w:t xml:space="preserve"> episodes of market instability (and market downturns)</w:t>
      </w:r>
      <w:r w:rsidRPr="003A1671">
        <w:rPr>
          <w:rStyle w:val="st"/>
          <w:rFonts w:asciiTheme="majorHAnsi" w:hAnsiTheme="majorHAnsi"/>
          <w:sz w:val="24"/>
        </w:rPr>
        <w:t xml:space="preserve"> into account. </w:t>
      </w:r>
      <w:r>
        <w:rPr>
          <w:rStyle w:val="st"/>
          <w:rFonts w:asciiTheme="majorHAnsi" w:hAnsiTheme="majorHAnsi"/>
          <w:sz w:val="24"/>
        </w:rPr>
        <w:t>A d</w:t>
      </w:r>
      <w:r>
        <w:rPr>
          <w:rStyle w:val="st"/>
          <w:rFonts w:asciiTheme="majorHAnsi" w:hAnsiTheme="majorHAnsi"/>
          <w:sz w:val="24"/>
        </w:rPr>
        <w:t>eviati</w:t>
      </w:r>
      <w:r>
        <w:rPr>
          <w:rStyle w:val="st"/>
          <w:rFonts w:asciiTheme="majorHAnsi" w:hAnsiTheme="majorHAnsi"/>
          <w:sz w:val="24"/>
        </w:rPr>
        <w:t>on</w:t>
      </w:r>
      <w:r>
        <w:rPr>
          <w:rStyle w:val="st"/>
          <w:rFonts w:asciiTheme="majorHAnsi" w:hAnsiTheme="majorHAnsi"/>
          <w:sz w:val="24"/>
        </w:rPr>
        <w:t xml:space="preserve"> from</w:t>
      </w:r>
      <w:r>
        <w:rPr>
          <w:rStyle w:val="st"/>
          <w:rFonts w:asciiTheme="majorHAnsi" w:hAnsiTheme="majorHAnsi"/>
          <w:sz w:val="24"/>
        </w:rPr>
        <w:t xml:space="preserve"> that </w:t>
      </w:r>
      <w:r>
        <w:rPr>
          <w:rStyle w:val="st"/>
          <w:rFonts w:asciiTheme="majorHAnsi" w:hAnsiTheme="majorHAnsi"/>
          <w:sz w:val="24"/>
        </w:rPr>
        <w:t>strategy</w:t>
      </w:r>
      <w:r>
        <w:rPr>
          <w:rStyle w:val="st"/>
          <w:rFonts w:asciiTheme="majorHAnsi" w:hAnsiTheme="majorHAnsi"/>
          <w:sz w:val="24"/>
        </w:rPr>
        <w:t xml:space="preserve"> </w:t>
      </w:r>
      <w:r>
        <w:rPr>
          <w:rStyle w:val="st"/>
          <w:rFonts w:asciiTheme="majorHAnsi" w:hAnsiTheme="majorHAnsi"/>
          <w:sz w:val="24"/>
        </w:rPr>
        <w:t>may</w:t>
      </w:r>
      <w:r>
        <w:rPr>
          <w:rStyle w:val="st"/>
          <w:rFonts w:asciiTheme="majorHAnsi" w:hAnsiTheme="majorHAnsi"/>
          <w:sz w:val="24"/>
        </w:rPr>
        <w:t xml:space="preserve"> be </w:t>
      </w:r>
      <w:r>
        <w:rPr>
          <w:rStyle w:val="st"/>
          <w:rFonts w:asciiTheme="majorHAnsi" w:hAnsiTheme="majorHAnsi"/>
          <w:sz w:val="24"/>
        </w:rPr>
        <w:t xml:space="preserve">ill-advised. </w:t>
      </w:r>
      <w:r>
        <w:rPr>
          <w:rStyle w:val="st"/>
          <w:rFonts w:asciiTheme="majorHAnsi" w:hAnsiTheme="majorHAnsi"/>
          <w:sz w:val="24"/>
        </w:rPr>
        <w:t xml:space="preserve">If you are wondering about the outlook for Wall </w:t>
      </w:r>
      <w:r>
        <w:rPr>
          <w:rStyle w:val="st"/>
          <w:rFonts w:asciiTheme="majorHAnsi" w:hAnsiTheme="majorHAnsi"/>
          <w:sz w:val="24"/>
        </w:rPr>
        <w:t>Street for 2019, many p</w:t>
      </w:r>
      <w:r>
        <w:rPr>
          <w:rStyle w:val="st"/>
          <w:rFonts w:asciiTheme="majorHAnsi" w:hAnsiTheme="majorHAnsi"/>
          <w:sz w:val="24"/>
        </w:rPr>
        <w:t xml:space="preserve">rognostications are bullish, some to remarkable degree. </w:t>
      </w:r>
      <w:r w:rsidRPr="003A1671">
        <w:rPr>
          <w:rStyle w:val="st"/>
          <w:rFonts w:asciiTheme="majorHAnsi" w:hAnsiTheme="majorHAnsi"/>
          <w:i/>
          <w:sz w:val="24"/>
        </w:rPr>
        <w:t xml:space="preserve">USA TODAY </w:t>
      </w:r>
      <w:r>
        <w:rPr>
          <w:rStyle w:val="st"/>
          <w:rFonts w:asciiTheme="majorHAnsi" w:hAnsiTheme="majorHAnsi"/>
          <w:sz w:val="24"/>
        </w:rPr>
        <w:t>recently polled</w:t>
      </w:r>
      <w:r w:rsidRPr="007A574C">
        <w:rPr>
          <w:rStyle w:val="st"/>
          <w:rFonts w:asciiTheme="majorHAnsi" w:hAnsiTheme="majorHAnsi"/>
          <w:sz w:val="24"/>
        </w:rPr>
        <w:t xml:space="preserve"> a range of </w:t>
      </w:r>
      <w:r>
        <w:rPr>
          <w:rStyle w:val="st"/>
          <w:rFonts w:asciiTheme="majorHAnsi" w:hAnsiTheme="majorHAnsi"/>
          <w:sz w:val="24"/>
        </w:rPr>
        <w:t xml:space="preserve">Wall Street </w:t>
      </w:r>
      <w:r w:rsidRPr="007A574C">
        <w:rPr>
          <w:rStyle w:val="st"/>
          <w:rFonts w:asciiTheme="majorHAnsi" w:hAnsiTheme="majorHAnsi"/>
          <w:sz w:val="24"/>
        </w:rPr>
        <w:t>investment strategists</w:t>
      </w:r>
      <w:r>
        <w:rPr>
          <w:rStyle w:val="st"/>
          <w:rFonts w:asciiTheme="majorHAnsi" w:hAnsiTheme="majorHAnsi"/>
          <w:sz w:val="24"/>
        </w:rPr>
        <w:t>, and</w:t>
      </w:r>
      <w:r w:rsidRPr="007A574C">
        <w:rPr>
          <w:rStyle w:val="st"/>
          <w:rFonts w:asciiTheme="majorHAnsi" w:hAnsiTheme="majorHAnsi"/>
          <w:sz w:val="24"/>
        </w:rPr>
        <w:t xml:space="preserve"> </w:t>
      </w:r>
      <w:r>
        <w:rPr>
          <w:rStyle w:val="st"/>
          <w:rFonts w:asciiTheme="majorHAnsi" w:hAnsiTheme="majorHAnsi"/>
          <w:sz w:val="24"/>
        </w:rPr>
        <w:t>they thought</w:t>
      </w:r>
      <w:r w:rsidRPr="007A574C">
        <w:rPr>
          <w:rStyle w:val="st"/>
          <w:rFonts w:asciiTheme="majorHAnsi" w:hAnsiTheme="majorHAnsi"/>
          <w:sz w:val="24"/>
        </w:rPr>
        <w:t xml:space="preserve"> the S&amp;P 500 </w:t>
      </w:r>
      <w:r>
        <w:rPr>
          <w:rStyle w:val="st"/>
          <w:rFonts w:asciiTheme="majorHAnsi" w:hAnsiTheme="majorHAnsi"/>
          <w:sz w:val="24"/>
        </w:rPr>
        <w:t>would gain</w:t>
      </w:r>
      <w:r w:rsidRPr="007A574C">
        <w:rPr>
          <w:rStyle w:val="st"/>
          <w:rFonts w:asciiTheme="majorHAnsi" w:hAnsiTheme="majorHAnsi"/>
          <w:sz w:val="24"/>
        </w:rPr>
        <w:t xml:space="preserve"> about 25% </w:t>
      </w:r>
      <w:r>
        <w:rPr>
          <w:rStyle w:val="st"/>
          <w:rFonts w:asciiTheme="majorHAnsi" w:hAnsiTheme="majorHAnsi"/>
          <w:sz w:val="24"/>
        </w:rPr>
        <w:t>this</w:t>
      </w:r>
      <w:r w:rsidRPr="007A574C">
        <w:rPr>
          <w:rStyle w:val="st"/>
          <w:rFonts w:asciiTheme="majorHAnsi" w:hAnsiTheme="majorHAnsi"/>
          <w:sz w:val="24"/>
        </w:rPr>
        <w:t xml:space="preserve"> year</w:t>
      </w:r>
      <w:r>
        <w:rPr>
          <w:rStyle w:val="st"/>
          <w:rFonts w:asciiTheme="majorHAnsi" w:hAnsiTheme="majorHAnsi"/>
          <w:sz w:val="24"/>
        </w:rPr>
        <w:t xml:space="preserve">, </w:t>
      </w:r>
      <w:r w:rsidRPr="007A574C">
        <w:rPr>
          <w:rStyle w:val="st"/>
          <w:rFonts w:asciiTheme="majorHAnsi" w:hAnsiTheme="majorHAnsi"/>
          <w:sz w:val="24"/>
        </w:rPr>
        <w:t>on</w:t>
      </w:r>
      <w:r>
        <w:rPr>
          <w:rStyle w:val="st"/>
          <w:rFonts w:asciiTheme="majorHAnsi" w:hAnsiTheme="majorHAnsi"/>
          <w:sz w:val="24"/>
        </w:rPr>
        <w:t xml:space="preserve"> average</w:t>
      </w:r>
      <w:r w:rsidRPr="007A574C">
        <w:rPr>
          <w:rStyle w:val="st"/>
          <w:rFonts w:asciiTheme="majorHAnsi" w:hAnsiTheme="majorHAnsi"/>
          <w:sz w:val="24"/>
        </w:rPr>
        <w:t xml:space="preserve">. </w:t>
      </w:r>
      <w:r>
        <w:rPr>
          <w:rStyle w:val="st"/>
          <w:rFonts w:asciiTheme="majorHAnsi" w:hAnsiTheme="majorHAnsi"/>
          <w:sz w:val="24"/>
        </w:rPr>
        <w:t>Is this j</w:t>
      </w:r>
      <w:r w:rsidRPr="007A574C">
        <w:rPr>
          <w:rStyle w:val="st"/>
          <w:rFonts w:asciiTheme="majorHAnsi" w:hAnsiTheme="majorHAnsi"/>
          <w:sz w:val="24"/>
        </w:rPr>
        <w:t>ust w</w:t>
      </w:r>
      <w:r w:rsidRPr="007A574C">
        <w:rPr>
          <w:rStyle w:val="st"/>
          <w:rFonts w:asciiTheme="majorHAnsi" w:hAnsiTheme="majorHAnsi"/>
          <w:sz w:val="24"/>
        </w:rPr>
        <w:t xml:space="preserve">ishful thinking, drenched in blue sky? </w:t>
      </w:r>
      <w:r w:rsidRPr="007A574C">
        <w:rPr>
          <w:rStyle w:val="st"/>
          <w:rFonts w:asciiTheme="majorHAnsi" w:hAnsiTheme="majorHAnsi"/>
          <w:sz w:val="24"/>
        </w:rPr>
        <w:t xml:space="preserve">Anything </w:t>
      </w:r>
      <w:r w:rsidRPr="007A574C">
        <w:rPr>
          <w:rStyle w:val="st"/>
          <w:rFonts w:asciiTheme="majorHAnsi" w:hAnsiTheme="majorHAnsi"/>
          <w:sz w:val="24"/>
        </w:rPr>
        <w:t>is possible</w:t>
      </w:r>
      <w:r w:rsidRPr="007A574C">
        <w:rPr>
          <w:rStyle w:val="st"/>
          <w:rFonts w:asciiTheme="majorHAnsi" w:hAnsiTheme="majorHAnsi"/>
          <w:sz w:val="24"/>
        </w:rPr>
        <w:t>, but</w:t>
      </w:r>
      <w:r w:rsidRPr="007A574C">
        <w:rPr>
          <w:rStyle w:val="st"/>
          <w:rFonts w:asciiTheme="majorHAnsi" w:hAnsiTheme="majorHAnsi"/>
          <w:sz w:val="24"/>
        </w:rPr>
        <w:t xml:space="preserve"> to</w:t>
      </w:r>
      <w:r w:rsidRPr="007A574C">
        <w:rPr>
          <w:rStyle w:val="st"/>
          <w:rFonts w:asciiTheme="majorHAnsi" w:hAnsiTheme="majorHAnsi"/>
          <w:sz w:val="24"/>
        </w:rPr>
        <w:t xml:space="preserve"> </w:t>
      </w:r>
      <w:r w:rsidRPr="007A574C">
        <w:rPr>
          <w:rStyle w:val="st"/>
          <w:rFonts w:asciiTheme="majorHAnsi" w:hAnsiTheme="majorHAnsi"/>
          <w:sz w:val="24"/>
        </w:rPr>
        <w:t>encourage</w:t>
      </w:r>
      <w:r w:rsidRPr="007A574C">
        <w:rPr>
          <w:rStyle w:val="st"/>
          <w:rFonts w:asciiTheme="majorHAnsi" w:hAnsiTheme="majorHAnsi"/>
          <w:sz w:val="24"/>
        </w:rPr>
        <w:t xml:space="preserve"> returns like that,</w:t>
      </w:r>
      <w:r w:rsidRPr="007A574C">
        <w:rPr>
          <w:rStyle w:val="st"/>
          <w:rFonts w:asciiTheme="majorHAnsi" w:hAnsiTheme="majorHAnsi"/>
          <w:sz w:val="24"/>
        </w:rPr>
        <w:t xml:space="preserve"> it </w:t>
      </w:r>
      <w:r w:rsidRPr="007A574C">
        <w:rPr>
          <w:rStyle w:val="st"/>
          <w:rFonts w:asciiTheme="majorHAnsi" w:hAnsiTheme="majorHAnsi"/>
          <w:sz w:val="24"/>
        </w:rPr>
        <w:t>might</w:t>
      </w:r>
      <w:r w:rsidRPr="007A574C">
        <w:rPr>
          <w:rStyle w:val="st"/>
          <w:rFonts w:asciiTheme="majorHAnsi" w:hAnsiTheme="majorHAnsi"/>
          <w:sz w:val="24"/>
        </w:rPr>
        <w:t xml:space="preserve"> help to have a </w:t>
      </w:r>
      <w:r w:rsidRPr="007A574C">
        <w:rPr>
          <w:rStyle w:val="st"/>
          <w:rFonts w:asciiTheme="majorHAnsi" w:hAnsiTheme="majorHAnsi"/>
          <w:sz w:val="24"/>
        </w:rPr>
        <w:t xml:space="preserve">pause in tightening </w:t>
      </w:r>
      <w:r w:rsidRPr="007A574C">
        <w:rPr>
          <w:rStyle w:val="st"/>
          <w:rFonts w:asciiTheme="majorHAnsi" w:hAnsiTheme="majorHAnsi"/>
          <w:sz w:val="24"/>
        </w:rPr>
        <w:t>by</w:t>
      </w:r>
      <w:r w:rsidRPr="007A574C">
        <w:rPr>
          <w:rStyle w:val="st"/>
          <w:rFonts w:asciiTheme="majorHAnsi" w:hAnsiTheme="majorHAnsi"/>
          <w:sz w:val="24"/>
        </w:rPr>
        <w:t xml:space="preserve"> the Fed, an end to the trade war between China and the U.S., a comeback for oil, and </w:t>
      </w:r>
      <w:r w:rsidRPr="007A574C">
        <w:rPr>
          <w:rStyle w:val="st"/>
          <w:rFonts w:asciiTheme="majorHAnsi" w:hAnsiTheme="majorHAnsi"/>
          <w:sz w:val="24"/>
        </w:rPr>
        <w:t>earnings calls that contradict worries about corporations becoming slightly less profitable.</w:t>
      </w:r>
      <w:r w:rsidRPr="007A574C">
        <w:rPr>
          <w:rStyle w:val="st"/>
          <w:rFonts w:asciiTheme="majorHAnsi" w:hAnsiTheme="majorHAnsi"/>
          <w:sz w:val="24"/>
        </w:rPr>
        <w:t xml:space="preserve"> </w:t>
      </w:r>
      <w:r w:rsidRPr="007A574C">
        <w:rPr>
          <w:rStyle w:val="st"/>
          <w:rFonts w:asciiTheme="majorHAnsi" w:hAnsiTheme="majorHAnsi"/>
          <w:sz w:val="24"/>
        </w:rPr>
        <w:t>January will likely see more of the volatility witnessed in December, hopeful</w:t>
      </w:r>
      <w:r w:rsidRPr="007A574C">
        <w:rPr>
          <w:rStyle w:val="st"/>
          <w:rFonts w:asciiTheme="majorHAnsi" w:hAnsiTheme="majorHAnsi"/>
          <w:sz w:val="24"/>
        </w:rPr>
        <w:t>ly less pronounced. This month and this year, investors will appreciate the core principle of diversification, for little is certain about the next few months on Wall Street.</w:t>
      </w:r>
      <w:r>
        <w:rPr>
          <w:rStyle w:val="st"/>
          <w:rFonts w:asciiTheme="majorHAnsi" w:hAnsiTheme="majorHAnsi"/>
          <w:sz w:val="24"/>
          <w:vertAlign w:val="superscript"/>
        </w:rPr>
        <w:t>2</w:t>
      </w:r>
      <w:r>
        <w:rPr>
          <w:rStyle w:val="st"/>
          <w:rFonts w:asciiTheme="majorHAnsi" w:hAnsiTheme="majorHAnsi"/>
          <w:sz w:val="24"/>
          <w:vertAlign w:val="superscript"/>
        </w:rPr>
        <w:t>3</w:t>
      </w:r>
    </w:p>
    <w:p w:rsidR="00552AA9" w:rsidRPr="00DD38C0" w:rsidRDefault="00AA1FA2" w:rsidP="00EE6BF2">
      <w:pPr>
        <w:spacing w:line="276" w:lineRule="auto"/>
        <w:rPr>
          <w:rFonts w:asciiTheme="majorHAnsi" w:hAnsiTheme="majorHAnsi"/>
          <w:color w:val="808080"/>
          <w:spacing w:val="-2"/>
          <w:sz w:val="4"/>
        </w:rPr>
      </w:pPr>
    </w:p>
    <w:p w:rsidR="006D5A63" w:rsidRDefault="00AA1FA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AA1FA2" w:rsidP="00EE6BF2">
      <w:pPr>
        <w:spacing w:line="276" w:lineRule="auto"/>
        <w:jc w:val="center"/>
        <w:rPr>
          <w:rStyle w:val="st"/>
          <w:rFonts w:asciiTheme="majorHAnsi" w:hAnsiTheme="majorHAnsi"/>
          <w:color w:val="E88E0A"/>
          <w:sz w:val="4"/>
        </w:rPr>
      </w:pPr>
    </w:p>
    <w:p w:rsidR="006D5A63" w:rsidRPr="00CE13AE" w:rsidRDefault="00AA1FA2"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AA1FA2" w:rsidP="00EE6BF2">
      <w:pPr>
        <w:spacing w:line="276" w:lineRule="auto"/>
        <w:jc w:val="center"/>
        <w:rPr>
          <w:rStyle w:val="st"/>
          <w:rFonts w:asciiTheme="majorHAnsi" w:hAnsiTheme="majorHAnsi"/>
          <w:sz w:val="4"/>
        </w:rPr>
      </w:pPr>
    </w:p>
    <w:p w:rsidR="006D5A63" w:rsidRDefault="00AA1FA2"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FF20E1" w:rsidRDefault="00AA1FA2" w:rsidP="00EE6BF2">
      <w:pPr>
        <w:spacing w:line="276" w:lineRule="auto"/>
        <w:jc w:val="center"/>
        <w:rPr>
          <w:rStyle w:val="st"/>
          <w:rFonts w:asciiTheme="majorHAnsi" w:hAnsiTheme="majorHAnsi"/>
          <w:i/>
          <w:sz w:val="36"/>
        </w:rPr>
      </w:pPr>
      <w:r w:rsidRPr="00FF20E1">
        <w:rPr>
          <w:rStyle w:val="st"/>
          <w:rFonts w:asciiTheme="majorHAnsi" w:hAnsiTheme="majorHAnsi"/>
          <w:i/>
          <w:sz w:val="36"/>
        </w:rPr>
        <w:lastRenderedPageBreak/>
        <w:t>“</w:t>
      </w:r>
      <w:r w:rsidRPr="00FF20E1">
        <w:rPr>
          <w:rStyle w:val="st"/>
          <w:rFonts w:asciiTheme="majorHAnsi" w:hAnsiTheme="majorHAnsi"/>
          <w:b/>
          <w:i/>
          <w:sz w:val="36"/>
        </w:rPr>
        <w:t>Make</w:t>
      </w:r>
      <w:r w:rsidRPr="00FF20E1">
        <w:rPr>
          <w:rStyle w:val="st"/>
          <w:rFonts w:asciiTheme="majorHAnsi" w:hAnsiTheme="majorHAnsi"/>
          <w:i/>
          <w:sz w:val="36"/>
        </w:rPr>
        <w:t xml:space="preserve"> your life a </w:t>
      </w:r>
      <w:r w:rsidRPr="00FF20E1">
        <w:rPr>
          <w:rStyle w:val="st"/>
          <w:rFonts w:asciiTheme="majorHAnsi" w:hAnsiTheme="majorHAnsi"/>
          <w:b/>
          <w:i/>
          <w:sz w:val="36"/>
        </w:rPr>
        <w:t>mission</w:t>
      </w:r>
      <w:r w:rsidRPr="00FF20E1">
        <w:rPr>
          <w:rStyle w:val="st"/>
          <w:rFonts w:asciiTheme="majorHAnsi" w:hAnsiTheme="majorHAnsi"/>
          <w:i/>
          <w:sz w:val="36"/>
        </w:rPr>
        <w:t xml:space="preserve"> </w:t>
      </w:r>
      <w:r>
        <w:rPr>
          <w:rStyle w:val="st"/>
          <w:rFonts w:asciiTheme="majorHAnsi" w:hAnsiTheme="majorHAnsi"/>
          <w:i/>
          <w:sz w:val="36"/>
        </w:rPr>
        <w:t>–</w:t>
      </w:r>
      <w:r w:rsidRPr="00FF20E1">
        <w:rPr>
          <w:rStyle w:val="st"/>
          <w:rFonts w:asciiTheme="majorHAnsi" w:hAnsiTheme="majorHAnsi"/>
          <w:i/>
          <w:sz w:val="36"/>
        </w:rPr>
        <w:t xml:space="preserve"> not an intermission</w:t>
      </w:r>
      <w:r w:rsidRPr="00FF20E1">
        <w:rPr>
          <w:rStyle w:val="st"/>
          <w:rFonts w:asciiTheme="majorHAnsi" w:hAnsiTheme="majorHAnsi"/>
          <w:i/>
          <w:sz w:val="36"/>
        </w:rPr>
        <w:t>.”</w:t>
      </w:r>
    </w:p>
    <w:p w:rsidR="006D5A63" w:rsidRPr="00825DF7" w:rsidRDefault="00AA1FA2" w:rsidP="00EE6BF2">
      <w:pPr>
        <w:spacing w:line="276" w:lineRule="auto"/>
        <w:jc w:val="center"/>
        <w:rPr>
          <w:rStyle w:val="st"/>
          <w:rFonts w:asciiTheme="majorHAnsi" w:hAnsiTheme="majorHAnsi"/>
          <w:caps/>
          <w:color w:val="3E7BB6"/>
          <w:sz w:val="24"/>
        </w:rPr>
      </w:pPr>
      <w:r w:rsidRPr="00825DF7">
        <w:rPr>
          <w:rStyle w:val="st"/>
          <w:rFonts w:asciiTheme="majorHAnsi" w:hAnsiTheme="majorHAnsi"/>
          <w:i/>
          <w:caps/>
          <w:color w:val="3E7BB6"/>
        </w:rPr>
        <w:t>AR</w:t>
      </w:r>
      <w:r w:rsidRPr="00825DF7">
        <w:rPr>
          <w:rStyle w:val="st"/>
          <w:rFonts w:asciiTheme="majorHAnsi" w:hAnsiTheme="majorHAnsi"/>
          <w:i/>
          <w:caps/>
          <w:color w:val="3E7BB6"/>
        </w:rPr>
        <w:t>N</w:t>
      </w:r>
      <w:r w:rsidRPr="00825DF7">
        <w:rPr>
          <w:rStyle w:val="st"/>
          <w:rFonts w:asciiTheme="majorHAnsi" w:hAnsiTheme="majorHAnsi"/>
          <w:i/>
          <w:caps/>
          <w:color w:val="3E7BB6"/>
        </w:rPr>
        <w:t>OLD GLASOW</w:t>
      </w:r>
    </w:p>
    <w:p w:rsidR="006D5A63" w:rsidRPr="00DD38C0" w:rsidRDefault="00AA1FA2" w:rsidP="00EE6BF2">
      <w:pPr>
        <w:spacing w:line="276" w:lineRule="auto"/>
        <w:jc w:val="center"/>
        <w:rPr>
          <w:rStyle w:val="st"/>
          <w:rFonts w:asciiTheme="majorHAnsi" w:hAnsiTheme="majorHAnsi"/>
          <w:i/>
          <w:color w:val="E88E0A"/>
          <w:sz w:val="4"/>
        </w:rPr>
      </w:pPr>
    </w:p>
    <w:p w:rsidR="00713653" w:rsidRDefault="00AA1FA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AA1FA2" w:rsidP="00EE6BF2">
      <w:pPr>
        <w:spacing w:line="276" w:lineRule="auto"/>
        <w:rPr>
          <w:rStyle w:val="st"/>
          <w:rFonts w:asciiTheme="majorHAnsi" w:hAnsiTheme="majorHAnsi"/>
          <w:sz w:val="4"/>
        </w:rPr>
      </w:pPr>
    </w:p>
    <w:p w:rsidR="00775662" w:rsidRPr="004A31CC" w:rsidRDefault="00AA1FA2"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775662" w:rsidRPr="009F5651" w:rsidRDefault="00AA1FA2" w:rsidP="00EE6BF2">
      <w:pPr>
        <w:spacing w:line="276" w:lineRule="auto"/>
        <w:jc w:val="both"/>
        <w:rPr>
          <w:rFonts w:asciiTheme="majorHAnsi" w:hAnsiTheme="majorHAnsi"/>
          <w:color w:val="002060"/>
          <w:spacing w:val="-2"/>
        </w:rPr>
      </w:pPr>
      <w:r w:rsidRPr="0028650E">
        <w:rPr>
          <w:rFonts w:asciiTheme="majorHAnsi" w:hAnsiTheme="majorHAnsi"/>
          <w:spacing w:val="-2"/>
        </w:rPr>
        <w:t>January’s roll call of major economic news items includes</w:t>
      </w:r>
      <w:r w:rsidRPr="0028650E">
        <w:rPr>
          <w:rFonts w:asciiTheme="majorHAnsi" w:hAnsiTheme="majorHAnsi"/>
          <w:spacing w:val="-2"/>
        </w:rPr>
        <w:t xml:space="preserve"> </w:t>
      </w:r>
      <w:r w:rsidRPr="0028650E">
        <w:rPr>
          <w:rFonts w:asciiTheme="majorHAnsi" w:hAnsiTheme="majorHAnsi"/>
          <w:spacing w:val="-2"/>
        </w:rPr>
        <w:t xml:space="preserve">the </w:t>
      </w:r>
      <w:r>
        <w:rPr>
          <w:rFonts w:asciiTheme="majorHAnsi" w:hAnsiTheme="majorHAnsi"/>
          <w:spacing w:val="-2"/>
        </w:rPr>
        <w:t>December</w:t>
      </w:r>
      <w:r w:rsidRPr="0028650E">
        <w:rPr>
          <w:rFonts w:asciiTheme="majorHAnsi" w:hAnsiTheme="majorHAnsi"/>
          <w:spacing w:val="-2"/>
        </w:rPr>
        <w:t xml:space="preserve"> employment report</w:t>
      </w:r>
      <w:r w:rsidRPr="0028650E">
        <w:rPr>
          <w:rFonts w:asciiTheme="majorHAnsi" w:hAnsiTheme="majorHAnsi"/>
          <w:spacing w:val="-2"/>
        </w:rPr>
        <w:t xml:space="preserve"> </w:t>
      </w:r>
      <w:r w:rsidRPr="0028650E">
        <w:rPr>
          <w:rFonts w:asciiTheme="majorHAnsi" w:hAnsiTheme="majorHAnsi"/>
          <w:spacing w:val="-2"/>
        </w:rPr>
        <w:t xml:space="preserve">from the Department of Labor (1/4), ISM’s December non-manufacturing PMI (1/7), a new Consumer Price </w:t>
      </w:r>
      <w:r w:rsidRPr="0028650E">
        <w:rPr>
          <w:rFonts w:asciiTheme="majorHAnsi" w:hAnsiTheme="majorHAnsi"/>
          <w:spacing w:val="-2"/>
        </w:rPr>
        <w:t>Index (1/10),</w:t>
      </w:r>
      <w:r w:rsidRPr="0028650E">
        <w:rPr>
          <w:rFonts w:asciiTheme="majorHAnsi" w:hAnsiTheme="majorHAnsi"/>
          <w:spacing w:val="-2"/>
        </w:rPr>
        <w:t xml:space="preserve"> </w:t>
      </w:r>
      <w:r w:rsidRPr="0028650E">
        <w:rPr>
          <w:rFonts w:asciiTheme="majorHAnsi" w:hAnsiTheme="majorHAnsi"/>
          <w:spacing w:val="-2"/>
        </w:rPr>
        <w:t>the latest Producer Price Index (1/15), December retail s</w:t>
      </w:r>
      <w:r w:rsidRPr="005F6EF9">
        <w:rPr>
          <w:rFonts w:asciiTheme="majorHAnsi" w:hAnsiTheme="majorHAnsi"/>
          <w:spacing w:val="-2"/>
        </w:rPr>
        <w:t xml:space="preserve">ales and a new Federal Reserve Beige Book (1/16), </w:t>
      </w:r>
      <w:r w:rsidRPr="005F6EF9">
        <w:rPr>
          <w:rFonts w:asciiTheme="majorHAnsi" w:hAnsiTheme="majorHAnsi"/>
          <w:spacing w:val="-2"/>
        </w:rPr>
        <w:t>December housing starts an</w:t>
      </w:r>
      <w:r w:rsidRPr="004E09DB">
        <w:rPr>
          <w:rFonts w:asciiTheme="majorHAnsi" w:hAnsiTheme="majorHAnsi"/>
          <w:spacing w:val="-2"/>
        </w:rPr>
        <w:t xml:space="preserve">d building permits (1/17), </w:t>
      </w:r>
      <w:r w:rsidRPr="004E09DB">
        <w:rPr>
          <w:rFonts w:asciiTheme="majorHAnsi" w:hAnsiTheme="majorHAnsi"/>
          <w:spacing w:val="-2"/>
        </w:rPr>
        <w:t>December industrial output and the preliminary January</w:t>
      </w:r>
      <w:r w:rsidRPr="004E09DB">
        <w:rPr>
          <w:rFonts w:asciiTheme="majorHAnsi" w:hAnsiTheme="majorHAnsi"/>
          <w:spacing w:val="-2"/>
        </w:rPr>
        <w:t xml:space="preserve"> University of Michigan consumer sentiment index</w:t>
      </w:r>
      <w:r w:rsidRPr="004E09DB">
        <w:rPr>
          <w:rFonts w:asciiTheme="majorHAnsi" w:hAnsiTheme="majorHAnsi"/>
          <w:spacing w:val="-2"/>
        </w:rPr>
        <w:t xml:space="preserve"> </w:t>
      </w:r>
      <w:r w:rsidRPr="004E09DB">
        <w:rPr>
          <w:rFonts w:asciiTheme="majorHAnsi" w:hAnsiTheme="majorHAnsi"/>
          <w:spacing w:val="-2"/>
        </w:rPr>
        <w:t>(1/</w:t>
      </w:r>
      <w:r w:rsidRPr="004E09DB">
        <w:rPr>
          <w:rFonts w:asciiTheme="majorHAnsi" w:hAnsiTheme="majorHAnsi"/>
          <w:spacing w:val="-2"/>
        </w:rPr>
        <w:t>18</w:t>
      </w:r>
      <w:r w:rsidRPr="004E09DB">
        <w:rPr>
          <w:rFonts w:asciiTheme="majorHAnsi" w:hAnsiTheme="majorHAnsi"/>
          <w:spacing w:val="-2"/>
        </w:rPr>
        <w:t xml:space="preserve">), </w:t>
      </w:r>
      <w:r w:rsidRPr="004E09DB">
        <w:rPr>
          <w:rFonts w:asciiTheme="majorHAnsi" w:hAnsiTheme="majorHAnsi"/>
          <w:spacing w:val="-2"/>
        </w:rPr>
        <w:t xml:space="preserve">the latest existing home sales report from the National Association of Realtors (1/22), </w:t>
      </w:r>
      <w:r>
        <w:rPr>
          <w:rFonts w:asciiTheme="majorHAnsi" w:hAnsiTheme="majorHAnsi"/>
          <w:spacing w:val="-2"/>
        </w:rPr>
        <w:t>a fresh</w:t>
      </w:r>
      <w:r w:rsidRPr="004E09DB">
        <w:rPr>
          <w:rFonts w:asciiTheme="majorHAnsi" w:hAnsiTheme="majorHAnsi"/>
          <w:spacing w:val="-2"/>
        </w:rPr>
        <w:t xml:space="preserve"> </w:t>
      </w:r>
      <w:r>
        <w:rPr>
          <w:rFonts w:asciiTheme="majorHAnsi" w:hAnsiTheme="majorHAnsi"/>
          <w:spacing w:val="-2"/>
        </w:rPr>
        <w:t xml:space="preserve">Conference Board </w:t>
      </w:r>
      <w:r w:rsidRPr="004E09DB">
        <w:rPr>
          <w:rFonts w:asciiTheme="majorHAnsi" w:hAnsiTheme="majorHAnsi"/>
          <w:spacing w:val="-2"/>
        </w:rPr>
        <w:t>lea</w:t>
      </w:r>
      <w:r w:rsidRPr="0012370A">
        <w:rPr>
          <w:rFonts w:asciiTheme="majorHAnsi" w:hAnsiTheme="majorHAnsi"/>
          <w:spacing w:val="-2"/>
        </w:rPr>
        <w:t>ding indicator</w:t>
      </w:r>
      <w:r w:rsidRPr="0012370A">
        <w:rPr>
          <w:rFonts w:asciiTheme="majorHAnsi" w:hAnsiTheme="majorHAnsi"/>
          <w:spacing w:val="-2"/>
        </w:rPr>
        <w:t>s</w:t>
      </w:r>
      <w:r w:rsidRPr="0012370A">
        <w:rPr>
          <w:rFonts w:asciiTheme="majorHAnsi" w:hAnsiTheme="majorHAnsi"/>
          <w:spacing w:val="-2"/>
        </w:rPr>
        <w:t xml:space="preserve"> index </w:t>
      </w:r>
      <w:r w:rsidRPr="0012370A">
        <w:rPr>
          <w:rFonts w:asciiTheme="majorHAnsi" w:hAnsiTheme="majorHAnsi"/>
          <w:spacing w:val="-2"/>
        </w:rPr>
        <w:t>(1</w:t>
      </w:r>
      <w:r w:rsidRPr="0012370A">
        <w:rPr>
          <w:rFonts w:asciiTheme="majorHAnsi" w:hAnsiTheme="majorHAnsi"/>
          <w:spacing w:val="-2"/>
        </w:rPr>
        <w:t>/2</w:t>
      </w:r>
      <w:r w:rsidRPr="0012370A">
        <w:rPr>
          <w:rFonts w:asciiTheme="majorHAnsi" w:hAnsiTheme="majorHAnsi"/>
          <w:spacing w:val="-2"/>
        </w:rPr>
        <w:t>4</w:t>
      </w:r>
      <w:r w:rsidRPr="0012370A">
        <w:rPr>
          <w:rFonts w:asciiTheme="majorHAnsi" w:hAnsiTheme="majorHAnsi"/>
          <w:spacing w:val="-2"/>
        </w:rPr>
        <w:t xml:space="preserve">), </w:t>
      </w:r>
      <w:r w:rsidRPr="0012370A">
        <w:rPr>
          <w:rFonts w:asciiTheme="majorHAnsi" w:hAnsiTheme="majorHAnsi"/>
          <w:spacing w:val="-2"/>
        </w:rPr>
        <w:t>December</w:t>
      </w:r>
      <w:r w:rsidRPr="0012370A">
        <w:rPr>
          <w:rFonts w:asciiTheme="majorHAnsi" w:hAnsiTheme="majorHAnsi"/>
          <w:spacing w:val="-2"/>
        </w:rPr>
        <w:t xml:space="preserve"> </w:t>
      </w:r>
      <w:r w:rsidRPr="0012370A">
        <w:rPr>
          <w:rFonts w:asciiTheme="majorHAnsi" w:hAnsiTheme="majorHAnsi"/>
          <w:spacing w:val="-2"/>
        </w:rPr>
        <w:t>new home sales</w:t>
      </w:r>
      <w:r w:rsidRPr="0012370A">
        <w:rPr>
          <w:rFonts w:asciiTheme="majorHAnsi" w:hAnsiTheme="majorHAnsi"/>
          <w:spacing w:val="-2"/>
        </w:rPr>
        <w:t xml:space="preserve"> and d</w:t>
      </w:r>
      <w:r w:rsidRPr="0012370A">
        <w:rPr>
          <w:rFonts w:asciiTheme="majorHAnsi" w:hAnsiTheme="majorHAnsi"/>
          <w:spacing w:val="-2"/>
        </w:rPr>
        <w:t>urable</w:t>
      </w:r>
      <w:r w:rsidRPr="0012370A">
        <w:rPr>
          <w:rFonts w:asciiTheme="majorHAnsi" w:hAnsiTheme="majorHAnsi"/>
          <w:spacing w:val="-2"/>
        </w:rPr>
        <w:t xml:space="preserve"> goods orders</w:t>
      </w:r>
      <w:r w:rsidRPr="0012370A">
        <w:rPr>
          <w:rFonts w:asciiTheme="majorHAnsi" w:hAnsiTheme="majorHAnsi"/>
          <w:spacing w:val="-2"/>
        </w:rPr>
        <w:t xml:space="preserve"> (1/2</w:t>
      </w:r>
      <w:r w:rsidRPr="0012370A">
        <w:rPr>
          <w:rFonts w:asciiTheme="majorHAnsi" w:hAnsiTheme="majorHAnsi"/>
          <w:spacing w:val="-2"/>
        </w:rPr>
        <w:t>5)</w:t>
      </w:r>
      <w:r w:rsidRPr="0012370A">
        <w:rPr>
          <w:rFonts w:asciiTheme="majorHAnsi" w:hAnsiTheme="majorHAnsi"/>
          <w:spacing w:val="-2"/>
        </w:rPr>
        <w:t xml:space="preserve">, </w:t>
      </w:r>
      <w:r w:rsidRPr="0012370A">
        <w:rPr>
          <w:rFonts w:asciiTheme="majorHAnsi" w:hAnsiTheme="majorHAnsi"/>
          <w:spacing w:val="-2"/>
        </w:rPr>
        <w:t>the latest Conference Board consumer confidence index and the November S&amp;P CoreLogic Case-Shiller</w:t>
      </w:r>
      <w:r w:rsidRPr="0012370A">
        <w:rPr>
          <w:rFonts w:asciiTheme="majorHAnsi" w:hAnsiTheme="majorHAnsi"/>
          <w:spacing w:val="-2"/>
        </w:rPr>
        <w:t xml:space="preserve"> </w:t>
      </w:r>
      <w:r w:rsidRPr="0012370A">
        <w:rPr>
          <w:rFonts w:asciiTheme="majorHAnsi" w:hAnsiTheme="majorHAnsi"/>
          <w:spacing w:val="-2"/>
        </w:rPr>
        <w:t>home</w:t>
      </w:r>
      <w:r w:rsidRPr="0012370A">
        <w:rPr>
          <w:rFonts w:asciiTheme="majorHAnsi" w:hAnsiTheme="majorHAnsi"/>
          <w:spacing w:val="-2"/>
        </w:rPr>
        <w:t xml:space="preserve"> price index</w:t>
      </w:r>
      <w:r w:rsidRPr="0012370A">
        <w:rPr>
          <w:rFonts w:asciiTheme="majorHAnsi" w:hAnsiTheme="majorHAnsi"/>
          <w:spacing w:val="-2"/>
        </w:rPr>
        <w:t xml:space="preserve"> (1/29),</w:t>
      </w:r>
      <w:r w:rsidRPr="0012370A">
        <w:rPr>
          <w:rFonts w:asciiTheme="majorHAnsi" w:hAnsiTheme="majorHAnsi"/>
          <w:spacing w:val="-2"/>
        </w:rPr>
        <w:t xml:space="preserve"> </w:t>
      </w:r>
      <w:r w:rsidRPr="0012370A">
        <w:rPr>
          <w:rFonts w:asciiTheme="majorHAnsi" w:hAnsiTheme="majorHAnsi"/>
          <w:spacing w:val="-2"/>
        </w:rPr>
        <w:t>a Federal Reserve policy decision, ADP’s January payrolls data, and NAR’s index of housing contract activity for December (1/30),</w:t>
      </w:r>
      <w:r w:rsidRPr="0012370A">
        <w:rPr>
          <w:rFonts w:asciiTheme="majorHAnsi" w:hAnsiTheme="majorHAnsi"/>
          <w:spacing w:val="-2"/>
        </w:rPr>
        <w:t xml:space="preserve"> </w:t>
      </w:r>
      <w:r w:rsidRPr="0012370A">
        <w:rPr>
          <w:rFonts w:asciiTheme="majorHAnsi" w:hAnsiTheme="majorHAnsi"/>
          <w:spacing w:val="-2"/>
        </w:rPr>
        <w:t>and</w:t>
      </w:r>
      <w:r w:rsidRPr="0012370A">
        <w:rPr>
          <w:rFonts w:asciiTheme="majorHAnsi" w:hAnsiTheme="majorHAnsi"/>
          <w:spacing w:val="-2"/>
        </w:rPr>
        <w:t xml:space="preserve"> finally, the </w:t>
      </w:r>
      <w:r w:rsidRPr="0012370A">
        <w:rPr>
          <w:rFonts w:asciiTheme="majorHAnsi" w:hAnsiTheme="majorHAnsi"/>
          <w:spacing w:val="-2"/>
        </w:rPr>
        <w:t xml:space="preserve">December </w:t>
      </w:r>
      <w:r w:rsidRPr="0012370A">
        <w:rPr>
          <w:rFonts w:asciiTheme="majorHAnsi" w:hAnsiTheme="majorHAnsi"/>
          <w:spacing w:val="-2"/>
        </w:rPr>
        <w:t xml:space="preserve">PCE price index and </w:t>
      </w:r>
      <w:r w:rsidRPr="0012370A">
        <w:rPr>
          <w:rFonts w:asciiTheme="majorHAnsi" w:hAnsiTheme="majorHAnsi"/>
          <w:spacing w:val="-2"/>
        </w:rPr>
        <w:t>consumer</w:t>
      </w:r>
      <w:r w:rsidRPr="0012370A">
        <w:rPr>
          <w:rFonts w:asciiTheme="majorHAnsi" w:hAnsiTheme="majorHAnsi"/>
          <w:spacing w:val="-2"/>
        </w:rPr>
        <w:t xml:space="preserve"> spending report </w:t>
      </w:r>
      <w:r w:rsidRPr="0012370A">
        <w:rPr>
          <w:rFonts w:asciiTheme="majorHAnsi" w:hAnsiTheme="majorHAnsi"/>
          <w:spacing w:val="-2"/>
        </w:rPr>
        <w:t>(1</w:t>
      </w:r>
      <w:r w:rsidRPr="0012370A">
        <w:rPr>
          <w:rFonts w:asciiTheme="majorHAnsi" w:hAnsiTheme="majorHAnsi"/>
          <w:spacing w:val="-2"/>
        </w:rPr>
        <w:t>/31</w:t>
      </w:r>
      <w:r w:rsidRPr="0012370A">
        <w:rPr>
          <w:rFonts w:asciiTheme="majorHAnsi" w:hAnsiTheme="majorHAnsi"/>
          <w:spacing w:val="-2"/>
        </w:rPr>
        <w:t>)</w:t>
      </w:r>
      <w:r w:rsidRPr="0012370A">
        <w:rPr>
          <w:rFonts w:asciiTheme="majorHAnsi" w:hAnsiTheme="majorHAnsi"/>
          <w:spacing w:val="-2"/>
        </w:rPr>
        <w:t>.</w:t>
      </w:r>
    </w:p>
    <w:p w:rsidR="00775662" w:rsidRDefault="00AA1FA2" w:rsidP="00EE6BF2">
      <w:pPr>
        <w:spacing w:line="276" w:lineRule="auto"/>
        <w:jc w:val="both"/>
        <w:rPr>
          <w:rStyle w:val="st"/>
          <w:rFonts w:asciiTheme="majorHAnsi" w:hAnsiTheme="majorHAnsi"/>
        </w:rPr>
      </w:pPr>
    </w:p>
    <w:p w:rsidR="006D5A63" w:rsidRDefault="00AA1FA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AA1FA2" w:rsidP="00EE6BF2">
      <w:pPr>
        <w:spacing w:line="276" w:lineRule="auto"/>
        <w:jc w:val="center"/>
        <w:rPr>
          <w:rStyle w:val="st"/>
          <w:rFonts w:asciiTheme="majorHAnsi" w:hAnsiTheme="majorHAnsi"/>
          <w:color w:val="E88E0A"/>
          <w:sz w:val="4"/>
        </w:rPr>
      </w:pPr>
    </w:p>
    <w:p w:rsidR="006D5A63" w:rsidRPr="00CE13AE" w:rsidRDefault="00AA1FA2"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AA1FA2" w:rsidP="00EE6BF2">
      <w:pPr>
        <w:spacing w:line="276" w:lineRule="auto"/>
        <w:jc w:val="center"/>
        <w:rPr>
          <w:rStyle w:val="st"/>
          <w:rFonts w:asciiTheme="majorHAnsi" w:hAnsiTheme="majorHAnsi"/>
          <w:sz w:val="4"/>
        </w:rPr>
      </w:pPr>
    </w:p>
    <w:p w:rsidR="006D5A63" w:rsidRDefault="00AA1FA2"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7C4F03" w:rsidRDefault="00AA1FA2" w:rsidP="007C4F03">
      <w:pPr>
        <w:spacing w:line="276" w:lineRule="auto"/>
        <w:jc w:val="center"/>
        <w:rPr>
          <w:rStyle w:val="st"/>
          <w:rFonts w:asciiTheme="majorHAnsi" w:hAnsiTheme="majorHAnsi"/>
          <w:i/>
          <w:sz w:val="36"/>
        </w:rPr>
      </w:pPr>
      <w:bookmarkStart w:id="3" w:name="_Hlk533572087"/>
      <w:r>
        <w:rPr>
          <w:rStyle w:val="st"/>
          <w:rFonts w:asciiTheme="majorHAnsi" w:hAnsiTheme="majorHAnsi"/>
          <w:i/>
          <w:sz w:val="36"/>
        </w:rPr>
        <w:t xml:space="preserve">You can see right through me. </w:t>
      </w:r>
      <w:r w:rsidRPr="007C4F03">
        <w:rPr>
          <w:rStyle w:val="st"/>
          <w:rFonts w:asciiTheme="majorHAnsi" w:hAnsiTheme="majorHAnsi"/>
          <w:i/>
          <w:sz w:val="36"/>
        </w:rPr>
        <w:t>Di</w:t>
      </w:r>
      <w:r>
        <w:rPr>
          <w:rStyle w:val="st"/>
          <w:rFonts w:asciiTheme="majorHAnsi" w:hAnsiTheme="majorHAnsi"/>
          <w:i/>
          <w:sz w:val="36"/>
        </w:rPr>
        <w:t xml:space="preserve">fferent lights make me strange, </w:t>
      </w:r>
      <w:r>
        <w:rPr>
          <w:rStyle w:val="st"/>
          <w:rFonts w:asciiTheme="majorHAnsi" w:hAnsiTheme="majorHAnsi"/>
          <w:i/>
          <w:sz w:val="36"/>
        </w:rPr>
        <w:t xml:space="preserve">and </w:t>
      </w:r>
      <w:r w:rsidRPr="007C4F03">
        <w:rPr>
          <w:rStyle w:val="st"/>
          <w:rFonts w:asciiTheme="majorHAnsi" w:hAnsiTheme="majorHAnsi"/>
          <w:i/>
          <w:sz w:val="36"/>
        </w:rPr>
        <w:t>for each one</w:t>
      </w:r>
      <w:r>
        <w:rPr>
          <w:rStyle w:val="st"/>
          <w:rFonts w:asciiTheme="majorHAnsi" w:hAnsiTheme="majorHAnsi"/>
          <w:i/>
          <w:sz w:val="36"/>
        </w:rPr>
        <w:t>,</w:t>
      </w:r>
      <w:r w:rsidRPr="007C4F03">
        <w:rPr>
          <w:rStyle w:val="st"/>
          <w:rFonts w:asciiTheme="majorHAnsi" w:hAnsiTheme="majorHAnsi"/>
          <w:i/>
          <w:sz w:val="36"/>
        </w:rPr>
        <w:t xml:space="preserve"> my size </w:t>
      </w:r>
      <w:r>
        <w:rPr>
          <w:rStyle w:val="st"/>
          <w:rFonts w:asciiTheme="majorHAnsi" w:hAnsiTheme="majorHAnsi"/>
          <w:i/>
          <w:sz w:val="36"/>
        </w:rPr>
        <w:t>may change. What am I</w:t>
      </w:r>
      <w:r w:rsidRPr="00335BB0">
        <w:rPr>
          <w:rStyle w:val="st"/>
          <w:rFonts w:asciiTheme="majorHAnsi" w:hAnsiTheme="majorHAnsi"/>
          <w:i/>
          <w:sz w:val="36"/>
        </w:rPr>
        <w:t>?</w:t>
      </w:r>
    </w:p>
    <w:bookmarkEnd w:id="3"/>
    <w:p w:rsidR="00237981" w:rsidRPr="00DD38C0" w:rsidRDefault="00AA1FA2" w:rsidP="00EE6BF2">
      <w:pPr>
        <w:spacing w:line="276" w:lineRule="auto"/>
        <w:jc w:val="center"/>
        <w:rPr>
          <w:rStyle w:val="st"/>
          <w:rFonts w:asciiTheme="majorHAnsi" w:hAnsiTheme="majorHAnsi"/>
          <w:i/>
          <w:color w:val="A6A6A6" w:themeColor="background1" w:themeShade="A6"/>
          <w:sz w:val="4"/>
        </w:rPr>
      </w:pPr>
    </w:p>
    <w:p w:rsidR="00237981" w:rsidRPr="00DD38C0" w:rsidRDefault="00AA1FA2"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9F5651">
        <w:rPr>
          <w:rStyle w:val="st"/>
          <w:rFonts w:asciiTheme="majorHAnsi" w:hAnsiTheme="majorHAnsi"/>
          <w:i/>
          <w:color w:val="646464"/>
        </w:rPr>
        <w:t>It is often surrounded by water and at risk from waves, and it has a fin rather than a sail or motor, but without water and waves, there would be</w:t>
      </w:r>
      <w:r>
        <w:rPr>
          <w:rStyle w:val="st"/>
          <w:rFonts w:asciiTheme="majorHAnsi" w:hAnsiTheme="majorHAnsi"/>
          <w:i/>
          <w:color w:val="646464"/>
        </w:rPr>
        <w:t xml:space="preserve"> no real use for it. What is it</w:t>
      </w:r>
      <w:r w:rsidRPr="001F3044">
        <w:rPr>
          <w:rStyle w:val="st"/>
          <w:rFonts w:asciiTheme="majorHAnsi" w:hAnsiTheme="majorHAnsi"/>
          <w:i/>
          <w:color w:val="646464"/>
        </w:rPr>
        <w:t>?</w:t>
      </w:r>
    </w:p>
    <w:p w:rsidR="00237981" w:rsidRPr="00DD38C0" w:rsidRDefault="00AA1FA2"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r>
        <w:rPr>
          <w:rStyle w:val="st"/>
          <w:rFonts w:asciiTheme="majorHAnsi" w:hAnsiTheme="majorHAnsi"/>
          <w:i/>
          <w:color w:val="646464"/>
        </w:rPr>
        <w:t>A surfboard</w:t>
      </w:r>
      <w:bookmarkEnd w:id="0"/>
      <w:r w:rsidRPr="0006123D">
        <w:rPr>
          <w:rStyle w:val="st"/>
          <w:rFonts w:asciiTheme="majorHAnsi" w:hAnsiTheme="majorHAnsi"/>
          <w:i/>
          <w:color w:val="646464"/>
        </w:rPr>
        <w:t>.</w:t>
      </w:r>
    </w:p>
    <w:p w:rsidR="00237981" w:rsidRPr="00DD38C0" w:rsidRDefault="00AA1FA2" w:rsidP="00EE6BF2">
      <w:pPr>
        <w:spacing w:line="276" w:lineRule="auto"/>
        <w:jc w:val="center"/>
        <w:rPr>
          <w:rStyle w:val="st"/>
          <w:rFonts w:asciiTheme="majorHAnsi" w:hAnsiTheme="majorHAnsi"/>
          <w:i/>
          <w:color w:val="A6A6A6" w:themeColor="background1" w:themeShade="A6"/>
          <w:sz w:val="4"/>
        </w:rPr>
      </w:pPr>
    </w:p>
    <w:p w:rsidR="00237981" w:rsidRDefault="00AA1FA2"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37981" w:rsidRPr="00DD38C0" w:rsidRDefault="00AA1FA2" w:rsidP="00EE6BF2">
      <w:pPr>
        <w:spacing w:line="276" w:lineRule="auto"/>
        <w:rPr>
          <w:rFonts w:asciiTheme="majorHAnsi" w:hAnsiTheme="majorHAnsi"/>
          <w:color w:val="A6A6A6" w:themeColor="background1" w:themeShade="A6"/>
          <w:sz w:val="2"/>
          <w:szCs w:val="20"/>
        </w:rPr>
      </w:pPr>
    </w:p>
    <w:p w:rsidR="006E3EBF" w:rsidRPr="00425944" w:rsidRDefault="00AA1FA2" w:rsidP="00EE6BF2">
      <w:pPr>
        <w:spacing w:line="276" w:lineRule="auto"/>
        <w:jc w:val="center"/>
        <w:rPr>
          <w:rFonts w:asciiTheme="majorHAnsi" w:hAnsiTheme="majorHAnsi" w:cs="Times New Roman"/>
          <w:sz w:val="2"/>
          <w:szCs w:val="32"/>
        </w:rPr>
      </w:pPr>
    </w:p>
    <w:p w:rsidR="00237981" w:rsidRPr="00DD38C0" w:rsidRDefault="00AA1FA2"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lastRenderedPageBreak/>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 adding them t</w:t>
      </w:r>
      <w:r>
        <w:rPr>
          <w:rFonts w:asciiTheme="majorHAnsi" w:hAnsiTheme="majorHAnsi" w:cs="Times New Roman"/>
          <w:sz w:val="24"/>
          <w:szCs w:val="32"/>
        </w:rPr>
        <w:t>o our mailing list.)</w:t>
      </w:r>
    </w:p>
    <w:p w:rsidR="00237981" w:rsidRDefault="00AA1FA2"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EA0505" w:rsidRPr="00DD38C0" w:rsidRDefault="00AA1FA2" w:rsidP="00EE6BF2">
      <w:pPr>
        <w:spacing w:line="276" w:lineRule="auto"/>
        <w:jc w:val="both"/>
        <w:rPr>
          <w:rFonts w:asciiTheme="majorHAnsi" w:hAnsiTheme="majorHAnsi"/>
          <w:color w:val="646464"/>
          <w:sz w:val="2"/>
          <w:szCs w:val="16"/>
        </w:rPr>
      </w:pPr>
    </w:p>
    <w:p w:rsidR="00AA1FA2" w:rsidRPr="009E1D51" w:rsidRDefault="00AA1FA2" w:rsidP="00AA1FA2">
      <w:pPr>
        <w:pStyle w:val="BasicParagraph"/>
        <w:suppressAutoHyphens/>
        <w:spacing w:line="240" w:lineRule="auto"/>
        <w:rPr>
          <w:rFonts w:asciiTheme="minorHAnsi" w:hAnsiTheme="minorHAnsi" w:cstheme="minorHAnsi"/>
          <w:sz w:val="16"/>
          <w:szCs w:val="16"/>
        </w:rPr>
      </w:pPr>
      <w:r w:rsidRPr="009E1D51">
        <w:rPr>
          <w:rFonts w:asciiTheme="minorHAnsi" w:hAnsiTheme="minorHAnsi" w:cstheme="minorHAnsi"/>
          <w:sz w:val="16"/>
          <w:szCs w:val="16"/>
        </w:rPr>
        <w:t xml:space="preserve">Chris Hass, Jeff Caufield and Chad Perkins offer securities through Parkland Securities, LLC. Member FINRA/SIPC. Investment advisory representatives offer investment advisory services through Sigma Planning Corporation, a registered investment advisor. </w:t>
      </w:r>
      <w:proofErr w:type="spellStart"/>
      <w:r w:rsidRPr="009E1D51">
        <w:rPr>
          <w:rFonts w:asciiTheme="minorHAnsi" w:hAnsiTheme="minorHAnsi" w:cstheme="minorHAnsi"/>
          <w:sz w:val="16"/>
          <w:szCs w:val="16"/>
        </w:rPr>
        <w:t>Corvus</w:t>
      </w:r>
      <w:proofErr w:type="spellEnd"/>
      <w:r w:rsidRPr="009E1D51">
        <w:rPr>
          <w:rFonts w:asciiTheme="minorHAnsi" w:hAnsiTheme="minorHAnsi" w:cstheme="minorHAnsi"/>
          <w:sz w:val="16"/>
          <w:szCs w:val="16"/>
        </w:rPr>
        <w:t xml:space="preserve"> Capital, LLC is an independently owned company located at 2950 Breckenridge Lane, Suite 6, Louisville, KY 40220. Phone (502) 451-6363; Fax (502) 451-6364</w:t>
      </w:r>
    </w:p>
    <w:p w:rsidR="00AA1FA2" w:rsidRDefault="00AA1FA2" w:rsidP="00EE6BF2">
      <w:pPr>
        <w:widowControl w:val="0"/>
        <w:autoSpaceDE w:val="0"/>
        <w:autoSpaceDN w:val="0"/>
        <w:adjustRightInd w:val="0"/>
        <w:spacing w:line="276" w:lineRule="auto"/>
        <w:jc w:val="both"/>
        <w:rPr>
          <w:rFonts w:asciiTheme="majorHAnsi" w:hAnsiTheme="majorHAnsi"/>
          <w:color w:val="646464"/>
          <w:sz w:val="16"/>
          <w:szCs w:val="16"/>
        </w:rPr>
      </w:pPr>
    </w:p>
    <w:p w:rsidR="00237981" w:rsidRPr="00DD38C0" w:rsidRDefault="00AA1FA2" w:rsidP="00EE6BF2">
      <w:pPr>
        <w:widowControl w:val="0"/>
        <w:autoSpaceDE w:val="0"/>
        <w:autoSpaceDN w:val="0"/>
        <w:adjustRightInd w:val="0"/>
        <w:spacing w:line="276" w:lineRule="auto"/>
        <w:jc w:val="both"/>
        <w:rPr>
          <w:rFonts w:asciiTheme="majorHAnsi" w:hAnsiTheme="majorHAnsi"/>
          <w:color w:val="646464"/>
          <w:sz w:val="16"/>
          <w:szCs w:val="16"/>
        </w:rPr>
      </w:pPr>
      <w:bookmarkStart w:id="4" w:name="_GoBack"/>
      <w:bookmarkEnd w:id="4"/>
      <w:r w:rsidRPr="00DD38C0">
        <w:rPr>
          <w:rFonts w:asciiTheme="majorHAnsi" w:hAnsiTheme="majorHAnsi" w:cs="Arial"/>
          <w:color w:val="646464"/>
          <w:sz w:val="16"/>
          <w:szCs w:val="16"/>
        </w:rPr>
        <w:t>This material was prepared by MarketingPro</w:t>
      </w:r>
      <w:r w:rsidRPr="00DD38C0">
        <w:rPr>
          <w:rFonts w:asciiTheme="majorHAnsi" w:hAnsiTheme="majorHAnsi" w:cs="Arial"/>
          <w:color w:val="646464"/>
          <w:sz w:val="16"/>
          <w:szCs w:val="16"/>
        </w:rPr>
        <w:t>, Inc., and does not necessarily represent the views of the presenting party, nor their affiliates. The information herein has been derived from sources believed to be accurate. Please note - investing involves risk, and past performance is no guarantee of</w:t>
      </w:r>
      <w:r w:rsidRPr="00DD38C0">
        <w:rPr>
          <w:rFonts w:asciiTheme="majorHAnsi" w:hAnsiTheme="majorHAnsi" w:cs="Arial"/>
          <w:color w:val="646464"/>
          <w:sz w:val="16"/>
          <w:szCs w:val="16"/>
        </w:rPr>
        <w:t xml:space="preserve"> future results. Investments will fluctuate and when redeemed may be worth more or less than when originally invested. This information should not be construed as investment, tax or legal advice and may not be relied on for the purpose of avoiding any Fede</w:t>
      </w:r>
      <w:r w:rsidRPr="00DD38C0">
        <w:rPr>
          <w:rFonts w:asciiTheme="majorHAnsi" w:hAnsiTheme="majorHAnsi" w:cs="Arial"/>
          <w:color w:val="646464"/>
          <w:sz w:val="16"/>
          <w:szCs w:val="16"/>
        </w:rPr>
        <w:t xml:space="preserv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unmanaged and are not illustrative of any particu</w:t>
      </w:r>
      <w:r w:rsidRPr="00C64077">
        <w:rPr>
          <w:rFonts w:asciiTheme="majorHAnsi" w:hAnsiTheme="majorHAnsi" w:cs="Arial"/>
          <w:color w:val="646464"/>
          <w:sz w:val="16"/>
          <w:szCs w:val="16"/>
        </w:rPr>
        <w:t>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Jones Industrial Average is a price-weighte</w:t>
      </w:r>
      <w:r w:rsidRPr="00DD38C0">
        <w:rPr>
          <w:rFonts w:asciiTheme="majorHAnsi" w:hAnsiTheme="majorHAnsi"/>
          <w:color w:val="646464"/>
          <w:sz w:val="16"/>
          <w:szCs w:val="16"/>
        </w:rPr>
        <w:t xml:space="preserve">d index of 30 actively traded blue-chip stocks. The NASDAQ Composite Index is a market-weighted index of all over-the-counter common stocks traded on the National Association of Securities Dealers Automated Quotation System. The Standard &amp; Poor's 500 (S&amp;P </w:t>
      </w:r>
      <w:r w:rsidRPr="00DD38C0">
        <w:rPr>
          <w:rFonts w:asciiTheme="majorHAnsi" w:hAnsiTheme="majorHAnsi"/>
          <w:color w:val="646464"/>
          <w:sz w:val="16"/>
          <w:szCs w:val="16"/>
        </w:rPr>
        <w:t>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xml:space="preserve">. The Russell 2000 Index measures the performance of the small-cap segment of the U.S. equity universe. The CBOE Volatility </w:t>
      </w:r>
      <w:r w:rsidRPr="00DD38C0">
        <w:rPr>
          <w:rFonts w:asciiTheme="majorHAnsi" w:hAnsiTheme="majorHAnsi"/>
          <w:color w:val="646464"/>
          <w:sz w:val="16"/>
          <w:szCs w:val="16"/>
        </w:rPr>
        <w:t>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is a key measure of market expectations of near-term volatility conveyed by S&amp;P 500 stock index option prices. NYSE Group, Inc. (NYSE:NYX</w:t>
      </w:r>
      <w:r w:rsidRPr="00DD38C0">
        <w:rPr>
          <w:rFonts w:asciiTheme="majorHAnsi" w:hAnsiTheme="majorHAnsi"/>
          <w:color w:val="646464"/>
          <w:sz w:val="16"/>
          <w:szCs w:val="16"/>
        </w:rPr>
        <w:t>) operates two securities exchanges: the New York Stock Exchange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and the Pacific Exchange). NYSE Group is a leading provider of securities listing, trading and market data </w:t>
      </w:r>
      <w:r w:rsidRPr="00DD38C0">
        <w:rPr>
          <w:rFonts w:asciiTheme="majorHAnsi" w:hAnsiTheme="majorHAnsi"/>
          <w:color w:val="646464"/>
          <w:sz w:val="16"/>
          <w:szCs w:val="16"/>
        </w:rPr>
        <w:t>products and services. The New York Mercantile Exchange, Inc. (NYMEX) is the world's largest physical commodity futures exchange and the preeminent trading forum for energy and precious metals, with trading conducted through two divisions – the NYMEX Divis</w:t>
      </w:r>
      <w:r w:rsidRPr="00DD38C0">
        <w:rPr>
          <w:rFonts w:asciiTheme="majorHAnsi" w:hAnsiTheme="majorHAnsi"/>
          <w:color w:val="646464"/>
          <w:sz w:val="16"/>
          <w:szCs w:val="16"/>
        </w:rPr>
        <w:t>ion, home to the energy, platinum, and palladium markets, and the COMEX Division, on which all other metals trade.</w:t>
      </w:r>
      <w:r>
        <w:rPr>
          <w:rFonts w:asciiTheme="majorHAnsi" w:hAnsiTheme="majorHAnsi"/>
          <w:color w:val="646464"/>
          <w:sz w:val="16"/>
          <w:szCs w:val="16"/>
        </w:rPr>
        <w:t xml:space="preserve"> </w:t>
      </w:r>
      <w:r w:rsidRPr="00EB2F32">
        <w:rPr>
          <w:rFonts w:asciiTheme="majorHAnsi" w:hAnsiTheme="majorHAnsi"/>
          <w:color w:val="646464"/>
          <w:sz w:val="16"/>
          <w:szCs w:val="16"/>
        </w:rPr>
        <w:t xml:space="preserve">Nikkei 225 (Ticker: ^N225) is a stock market index for the Tokyo Stock Exchange (TSE). The Nikkei average is the most watched index of Asian </w:t>
      </w:r>
      <w:r w:rsidRPr="00EB2F32">
        <w:rPr>
          <w:rFonts w:asciiTheme="majorHAnsi" w:hAnsiTheme="majorHAnsi"/>
          <w:color w:val="646464"/>
          <w:sz w:val="16"/>
          <w:szCs w:val="16"/>
        </w:rPr>
        <w:t>stocks.</w:t>
      </w:r>
      <w:r>
        <w:rPr>
          <w:rFonts w:asciiTheme="majorHAnsi" w:hAnsiTheme="majorHAnsi"/>
          <w:color w:val="646464"/>
          <w:sz w:val="16"/>
          <w:szCs w:val="16"/>
        </w:rPr>
        <w:t xml:space="preserve"> </w:t>
      </w:r>
      <w:r w:rsidRPr="00EB2F32">
        <w:rPr>
          <w:rFonts w:asciiTheme="majorHAnsi" w:hAnsiTheme="majorHAnsi"/>
          <w:color w:val="646464"/>
          <w:sz w:val="16"/>
          <w:szCs w:val="16"/>
        </w:rPr>
        <w:t>The S&amp;P/TSX Composite Index is an index of the stock (equity) prices of the largest companies on the Toronto Stock Exchange (TSX) as measured by market capitalization.</w:t>
      </w:r>
      <w:r>
        <w:rPr>
          <w:rFonts w:asciiTheme="majorHAnsi" w:hAnsiTheme="majorHAnsi"/>
          <w:color w:val="646464"/>
          <w:sz w:val="16"/>
          <w:szCs w:val="16"/>
        </w:rPr>
        <w:t xml:space="preserve"> </w:t>
      </w:r>
      <w:r w:rsidRPr="00EB2F32">
        <w:rPr>
          <w:rFonts w:asciiTheme="majorHAnsi" w:hAnsiTheme="majorHAnsi"/>
          <w:color w:val="646464"/>
          <w:sz w:val="16"/>
          <w:szCs w:val="16"/>
        </w:rPr>
        <w:t>The Bovespa Index is a gross total return index weighted by traded volume &amp; is c</w:t>
      </w:r>
      <w:r w:rsidRPr="00EB2F32">
        <w:rPr>
          <w:rFonts w:asciiTheme="majorHAnsi" w:hAnsiTheme="majorHAnsi"/>
          <w:color w:val="646464"/>
          <w:sz w:val="16"/>
          <w:szCs w:val="16"/>
        </w:rPr>
        <w:t>omprised of the most liquid stocks traded on the Sao Paulo Stock Exchange.</w:t>
      </w:r>
      <w:r>
        <w:rPr>
          <w:rFonts w:asciiTheme="majorHAnsi" w:hAnsiTheme="majorHAnsi"/>
          <w:color w:val="646464"/>
          <w:sz w:val="16"/>
          <w:szCs w:val="16"/>
        </w:rPr>
        <w:t xml:space="preserve"> </w:t>
      </w:r>
      <w:r w:rsidRPr="00EB2F32">
        <w:rPr>
          <w:rFonts w:asciiTheme="majorHAnsi" w:hAnsiTheme="majorHAnsi"/>
          <w:color w:val="646464"/>
          <w:sz w:val="16"/>
          <w:szCs w:val="16"/>
        </w:rPr>
        <w:t xml:space="preserve">The Mexican Stock Exchange, commonly known as Mexican Bolsa, Mexbol, or BMV, is the only stock exchange in Mexico. The DAX 30 is a Blue-Chip stock market index consisting of the 30 </w:t>
      </w:r>
      <w:r w:rsidRPr="00EB2F32">
        <w:rPr>
          <w:rFonts w:asciiTheme="majorHAnsi" w:hAnsiTheme="majorHAnsi"/>
          <w:color w:val="646464"/>
          <w:sz w:val="16"/>
          <w:szCs w:val="16"/>
        </w:rPr>
        <w:t>major German companies trading on the Frankfurt Stock Exchange. The CAC-40 Index is a narrow-based, modified capitalization-weighted index of 40 companies listed on the Paris Bourse. The FTSE 100 Index is a share index of the 100 companies listed on the Lo</w:t>
      </w:r>
      <w:r w:rsidRPr="00EB2F32">
        <w:rPr>
          <w:rFonts w:asciiTheme="majorHAnsi" w:hAnsiTheme="majorHAnsi"/>
          <w:color w:val="646464"/>
          <w:sz w:val="16"/>
          <w:szCs w:val="16"/>
        </w:rPr>
        <w:t xml:space="preserve">ndon Stock Exchange with the highest market </w:t>
      </w:r>
      <w:r w:rsidRPr="00EB2F32">
        <w:rPr>
          <w:rFonts w:asciiTheme="majorHAnsi" w:hAnsiTheme="majorHAnsi"/>
          <w:color w:val="767171" w:themeColor="background2" w:themeShade="80"/>
          <w:sz w:val="16"/>
          <w:szCs w:val="16"/>
        </w:rPr>
        <w:t xml:space="preserve">capitalization. The IBEX 35 is the benchmark stock market index of the Bolsa de Madrid, Spain’s principal stock exchange. </w:t>
      </w:r>
      <w:r w:rsidRPr="00EB2F32">
        <w:rPr>
          <w:rFonts w:asciiTheme="majorHAnsi" w:hAnsiTheme="majorHAnsi"/>
          <w:color w:val="767171" w:themeColor="background2" w:themeShade="80"/>
          <w:sz w:val="16"/>
          <w:szCs w:val="16"/>
        </w:rPr>
        <w:t>The Hang Seng Index is a free float-adjusted market capitalization-weighted stock market i</w:t>
      </w:r>
      <w:r w:rsidRPr="00EB2F32">
        <w:rPr>
          <w:rFonts w:asciiTheme="majorHAnsi" w:hAnsiTheme="majorHAnsi"/>
          <w:color w:val="767171" w:themeColor="background2" w:themeShade="80"/>
          <w:sz w:val="16"/>
          <w:szCs w:val="16"/>
        </w:rPr>
        <w:t>ndex that is the main indicator of the overall market performance in Hong Kong.</w:t>
      </w:r>
      <w:r w:rsidRPr="00EB2F32">
        <w:rPr>
          <w:rFonts w:asciiTheme="majorHAnsi" w:hAnsiTheme="majorHAnsi"/>
          <w:color w:val="767171" w:themeColor="background2" w:themeShade="80"/>
          <w:sz w:val="16"/>
          <w:szCs w:val="16"/>
        </w:rPr>
        <w:t xml:space="preserve"> The SSE Composite Index is an index of all stocks (A shares and B shares) that are traded at the Shanghai Stock Exchange. The BSE SENSEX (Bombay Stock Exchange Sensitive Index)</w:t>
      </w:r>
      <w:r w:rsidRPr="00EB2F32">
        <w:rPr>
          <w:rFonts w:asciiTheme="majorHAnsi" w:hAnsiTheme="majorHAnsi"/>
          <w:color w:val="767171" w:themeColor="background2" w:themeShade="80"/>
          <w:sz w:val="16"/>
          <w:szCs w:val="16"/>
        </w:rPr>
        <w:t>, also-called the BSE 30 (BOMBAY STOCK EXCHANGE) or simply the SENSEX, is a free-float market capitalization-weighted stock market index of 30 well-established and financially sound companies listed on the Bombay Stock Exchange (BSE).</w:t>
      </w:r>
      <w:r w:rsidRPr="00EB2F32">
        <w:rPr>
          <w:rFonts w:asciiTheme="majorHAnsi" w:hAnsiTheme="majorHAnsi"/>
          <w:color w:val="767171" w:themeColor="background2" w:themeShade="80"/>
          <w:sz w:val="16"/>
          <w:szCs w:val="16"/>
        </w:rPr>
        <w:t xml:space="preserve"> The Nifty 50 (NTFE 50</w:t>
      </w:r>
      <w:r w:rsidRPr="00EB2F32">
        <w:rPr>
          <w:rFonts w:asciiTheme="majorHAnsi" w:hAnsiTheme="majorHAnsi"/>
          <w:color w:val="767171" w:themeColor="background2" w:themeShade="80"/>
          <w:sz w:val="16"/>
          <w:szCs w:val="16"/>
        </w:rPr>
        <w:t xml:space="preserve">) is a well-diversified 50-stock index accounting for 13 sectors of the Indian economy. It is used for a variety of purposes such as benchmarking fund portfolios, index-based derivatives and index funds. </w:t>
      </w:r>
      <w:r w:rsidRPr="00EB2F32">
        <w:rPr>
          <w:rFonts w:asciiTheme="majorHAnsi" w:hAnsiTheme="majorHAnsi"/>
          <w:color w:val="767171" w:themeColor="background2" w:themeShade="80"/>
          <w:sz w:val="16"/>
          <w:szCs w:val="16"/>
        </w:rPr>
        <w:t>The MSCI World Index is a free-float weighted equity</w:t>
      </w:r>
      <w:r w:rsidRPr="00EB2F32">
        <w:rPr>
          <w:rFonts w:asciiTheme="majorHAnsi" w:hAnsiTheme="majorHAnsi"/>
          <w:color w:val="767171" w:themeColor="background2" w:themeShade="80"/>
          <w:sz w:val="16"/>
          <w:szCs w:val="16"/>
        </w:rPr>
        <w:t xml:space="preserve"> index that includes developed world markets and does not include emerging markets.  </w:t>
      </w:r>
      <w:r w:rsidRPr="00EB2F32">
        <w:rPr>
          <w:rFonts w:asciiTheme="majorHAnsi" w:hAnsiTheme="majorHAnsi"/>
          <w:color w:val="767171" w:themeColor="background2" w:themeShade="80"/>
          <w:sz w:val="16"/>
          <w:szCs w:val="16"/>
        </w:rPr>
        <w:t xml:space="preserve"> The MSCI Emerging Markets Index is a float-adjusted market capitalization index consisting of indices in more than 25 emerging economies.</w:t>
      </w:r>
      <w:r w:rsidRPr="00EB2F32">
        <w:rPr>
          <w:rFonts w:asciiTheme="majorHAnsi" w:hAnsiTheme="majorHAnsi"/>
          <w:color w:val="767171" w:themeColor="background2" w:themeShade="80"/>
          <w:sz w:val="16"/>
          <w:szCs w:val="16"/>
        </w:rPr>
        <w:t xml:space="preserve"> The FTSEurofirst 300 Index compr</w:t>
      </w:r>
      <w:r w:rsidRPr="00EB2F32">
        <w:rPr>
          <w:rFonts w:asciiTheme="majorHAnsi" w:hAnsiTheme="majorHAnsi"/>
          <w:color w:val="767171" w:themeColor="background2" w:themeShade="80"/>
          <w:sz w:val="16"/>
          <w:szCs w:val="16"/>
        </w:rPr>
        <w:t>ises the 300 largest companies ranked by market capitalisation in the FTSE Developed Europe Index.</w:t>
      </w:r>
      <w:r w:rsidRPr="00EB2F32">
        <w:rPr>
          <w:rFonts w:asciiTheme="majorHAnsi" w:hAnsiTheme="majorHAnsi"/>
          <w:color w:val="767171" w:themeColor="background2" w:themeShade="80"/>
          <w:sz w:val="16"/>
          <w:szCs w:val="16"/>
        </w:rPr>
        <w:t xml:space="preserve"> The MICEX 10 Index is an unweighted price index that tracks the ten most liquid Russian stocks listed on MICEX-RTS in Moscow. </w:t>
      </w:r>
      <w:r w:rsidRPr="00EB2F32">
        <w:rPr>
          <w:rFonts w:asciiTheme="majorHAnsi" w:hAnsiTheme="majorHAnsi"/>
          <w:color w:val="767171" w:themeColor="background2" w:themeShade="80"/>
          <w:sz w:val="16"/>
          <w:szCs w:val="16"/>
        </w:rPr>
        <w:t>The US Dollar Index measures th</w:t>
      </w:r>
      <w:r w:rsidRPr="00EB2F32">
        <w:rPr>
          <w:rFonts w:asciiTheme="majorHAnsi" w:hAnsiTheme="majorHAnsi"/>
          <w:color w:val="767171" w:themeColor="background2" w:themeShade="80"/>
          <w:sz w:val="16"/>
          <w:szCs w:val="16"/>
        </w:rPr>
        <w:t xml:space="preserve">e performance of the U.S. dollar against a basket of six currencies. </w:t>
      </w:r>
      <w:r w:rsidRPr="00EB2F32">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investing, such as currency fluctuations, political and economic instability and differences in accounting standards. This material repr</w:t>
      </w:r>
      <w:r w:rsidRPr="00AB1FB1">
        <w:rPr>
          <w:rFonts w:asciiTheme="majorHAnsi" w:hAnsiTheme="majorHAnsi" w:cs="Arial"/>
          <w:color w:val="767171" w:themeColor="background2" w:themeShade="80"/>
          <w:sz w:val="16"/>
          <w:szCs w:val="16"/>
        </w:rPr>
        <w:t xml:space="preserve">esents an assessment of the market </w:t>
      </w:r>
      <w:r w:rsidRPr="00DD38C0">
        <w:rPr>
          <w:rFonts w:asciiTheme="majorHAnsi" w:hAnsiTheme="majorHAnsi" w:cs="Arial"/>
          <w:color w:val="646464"/>
          <w:sz w:val="16"/>
          <w:szCs w:val="16"/>
        </w:rPr>
        <w:t>environment at a specific point in time and is not intended to be a forecast of future events, or a guarantee of future results. MarketingPro, Inc. is not affiliated with any person or firm that may be providing this info</w:t>
      </w:r>
      <w:r w:rsidRPr="00DD38C0">
        <w:rPr>
          <w:rFonts w:asciiTheme="majorHAnsi" w:hAnsiTheme="majorHAnsi" w:cs="Arial"/>
          <w:color w:val="646464"/>
          <w:sz w:val="16"/>
          <w:szCs w:val="16"/>
        </w:rPr>
        <w:t>rmation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AA1FA2"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8E168C" w:rsidRPr="00410159" w:rsidRDefault="00AA1FA2" w:rsidP="006301EA">
      <w:pPr>
        <w:spacing w:after="0" w:line="240" w:lineRule="auto"/>
        <w:rPr>
          <w:rFonts w:asciiTheme="majorHAnsi" w:hAnsiTheme="majorHAnsi" w:cstheme="majorHAnsi"/>
          <w:color w:val="808080" w:themeColor="background1" w:themeShade="80"/>
          <w:sz w:val="16"/>
          <w:szCs w:val="16"/>
        </w:rPr>
      </w:pPr>
      <w:bookmarkStart w:id="5" w:name="_Hlk520808669"/>
      <w:r>
        <w:rPr>
          <w:rFonts w:asciiTheme="majorHAnsi" w:hAnsiTheme="majorHAnsi" w:cstheme="majorHAnsi"/>
          <w:color w:val="808080" w:themeColor="background1" w:themeShade="80"/>
          <w:sz w:val="16"/>
          <w:szCs w:val="16"/>
        </w:rPr>
        <w:t>1</w:t>
      </w:r>
      <w:r w:rsidRPr="000218D4">
        <w:rPr>
          <w:rFonts w:asciiTheme="majorHAnsi" w:hAnsiTheme="majorHAnsi" w:cstheme="majorHAnsi"/>
          <w:color w:val="808080" w:themeColor="background1" w:themeShade="80"/>
          <w:sz w:val="16"/>
          <w:szCs w:val="16"/>
        </w:rPr>
        <w:t xml:space="preserve"> - markets.wsj.com/us [12/31/18]</w:t>
      </w:r>
    </w:p>
    <w:p w:rsidR="00696A9B" w:rsidRPr="00C12543" w:rsidRDefault="00AA1FA2" w:rsidP="006301EA">
      <w:pPr>
        <w:spacing w:after="0" w:line="240" w:lineRule="auto"/>
        <w:rPr>
          <w:rFonts w:asciiTheme="majorHAnsi" w:hAnsiTheme="majorHAnsi" w:cstheme="majorHAnsi"/>
          <w:color w:val="808080" w:themeColor="background1" w:themeShade="80"/>
          <w:sz w:val="16"/>
          <w:szCs w:val="16"/>
        </w:rPr>
      </w:pPr>
      <w:r w:rsidRPr="000218D4">
        <w:rPr>
          <w:rFonts w:asciiTheme="majorHAnsi" w:hAnsiTheme="majorHAnsi" w:cstheme="majorHAnsi"/>
          <w:color w:val="808080" w:themeColor="background1" w:themeShade="80"/>
          <w:sz w:val="16"/>
          <w:szCs w:val="16"/>
        </w:rPr>
        <w:t>2 - reuters.com/article/us-usa-fed/fed-lifts-rates-now-sees-some-further-hikes-ahead-idUSKBN1OI0DV [12/19/18]</w:t>
      </w:r>
    </w:p>
    <w:p w:rsidR="000F20BE" w:rsidRPr="00C12543" w:rsidRDefault="00AA1FA2"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 </w:t>
      </w:r>
      <w:r w:rsidRPr="00DE27BF">
        <w:rPr>
          <w:rFonts w:asciiTheme="majorHAnsi" w:hAnsiTheme="majorHAnsi" w:cstheme="majorHAnsi"/>
          <w:color w:val="808080" w:themeColor="background1" w:themeShade="80"/>
          <w:sz w:val="16"/>
          <w:szCs w:val="16"/>
        </w:rPr>
        <w:t xml:space="preserve">instituteforsupplymanagement.org/ISMReport/NonMfgROB.cfm?SSO=1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6</w:t>
      </w:r>
      <w:r w:rsidRPr="00410159">
        <w:rPr>
          <w:rFonts w:asciiTheme="majorHAnsi" w:hAnsiTheme="majorHAnsi" w:cstheme="majorHAnsi"/>
          <w:color w:val="808080" w:themeColor="background1" w:themeShade="80"/>
          <w:sz w:val="16"/>
          <w:szCs w:val="16"/>
        </w:rPr>
        <w:t xml:space="preserve">/18] </w:t>
      </w:r>
    </w:p>
    <w:bookmarkEnd w:id="5"/>
    <w:p w:rsidR="007055DA" w:rsidRPr="00C12543" w:rsidRDefault="00AA1FA2" w:rsidP="006301EA">
      <w:pPr>
        <w:spacing w:after="0" w:line="240" w:lineRule="auto"/>
        <w:rPr>
          <w:noProof/>
        </w:rPr>
      </w:pPr>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 xml:space="preserve"> - inv</w:t>
      </w:r>
      <w:r w:rsidRPr="00410159">
        <w:rPr>
          <w:rFonts w:asciiTheme="majorHAnsi" w:hAnsiTheme="majorHAnsi" w:cstheme="majorHAnsi"/>
          <w:color w:val="808080" w:themeColor="background1" w:themeShade="80"/>
          <w:sz w:val="16"/>
          <w:szCs w:val="16"/>
        </w:rPr>
        <w:t>esting.com/economic-calendar/ [</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27</w:t>
      </w:r>
      <w:r w:rsidRPr="00410159">
        <w:rPr>
          <w:rFonts w:asciiTheme="majorHAnsi" w:hAnsiTheme="majorHAnsi" w:cstheme="majorHAnsi"/>
          <w:color w:val="808080" w:themeColor="background1" w:themeShade="80"/>
          <w:sz w:val="16"/>
          <w:szCs w:val="16"/>
        </w:rPr>
        <w:t>/18]</w:t>
      </w:r>
      <w:r w:rsidRPr="004E728F">
        <w:rPr>
          <w:noProof/>
        </w:rPr>
        <w:t xml:space="preserve"> </w:t>
      </w:r>
    </w:p>
    <w:p w:rsidR="00025015" w:rsidRPr="00410159" w:rsidRDefault="00AA1FA2"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lastRenderedPageBreak/>
        <w:t>5</w:t>
      </w:r>
      <w:r w:rsidRPr="00410159">
        <w:rPr>
          <w:rFonts w:asciiTheme="majorHAnsi" w:hAnsiTheme="majorHAnsi" w:cstheme="majorHAnsi"/>
          <w:color w:val="808080" w:themeColor="background1" w:themeShade="80"/>
          <w:sz w:val="16"/>
          <w:szCs w:val="16"/>
        </w:rPr>
        <w:t xml:space="preserve"> - </w:t>
      </w:r>
      <w:r w:rsidRPr="00025015">
        <w:rPr>
          <w:rFonts w:asciiTheme="majorHAnsi" w:hAnsiTheme="majorHAnsi" w:cstheme="majorHAnsi"/>
          <w:color w:val="808080" w:themeColor="background1" w:themeShade="80"/>
          <w:sz w:val="16"/>
          <w:szCs w:val="16"/>
        </w:rPr>
        <w:t>streetinsider.com/Economic+Data/U.S.+consumer+prices+flat%3B+underlying+inflation+firm/14915363.html</w:t>
      </w:r>
      <w:r w:rsidRPr="00DE27BF">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26</w:t>
      </w:r>
      <w:r w:rsidRPr="00410159">
        <w:rPr>
          <w:rFonts w:asciiTheme="majorHAnsi" w:hAnsiTheme="majorHAnsi" w:cstheme="majorHAnsi"/>
          <w:color w:val="808080" w:themeColor="background1" w:themeShade="80"/>
          <w:sz w:val="16"/>
          <w:szCs w:val="16"/>
        </w:rPr>
        <w:t xml:space="preserve">/18] </w:t>
      </w:r>
    </w:p>
    <w:p w:rsidR="00025015" w:rsidRPr="00410159" w:rsidRDefault="00AA1FA2"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6</w:t>
      </w:r>
      <w:r w:rsidRPr="00410159">
        <w:rPr>
          <w:rFonts w:asciiTheme="majorHAnsi" w:hAnsiTheme="majorHAnsi" w:cstheme="majorHAnsi"/>
          <w:color w:val="808080" w:themeColor="background1" w:themeShade="80"/>
          <w:sz w:val="16"/>
          <w:szCs w:val="16"/>
        </w:rPr>
        <w:t xml:space="preserve"> - </w:t>
      </w:r>
      <w:r w:rsidRPr="000A72AB">
        <w:rPr>
          <w:rFonts w:asciiTheme="majorHAnsi" w:hAnsiTheme="majorHAnsi" w:cstheme="majorHAnsi"/>
          <w:color w:val="808080" w:themeColor="background1" w:themeShade="80"/>
          <w:sz w:val="16"/>
          <w:szCs w:val="16"/>
        </w:rPr>
        <w:t>bloomberg.com/news/articles/2018-12-07/u-s-payrolls-rise-below-forecast-155-000-as-wage-gain-</w:t>
      </w:r>
      <w:r w:rsidRPr="000A72AB">
        <w:rPr>
          <w:rFonts w:asciiTheme="majorHAnsi" w:hAnsiTheme="majorHAnsi" w:cstheme="majorHAnsi"/>
          <w:color w:val="808080" w:themeColor="background1" w:themeShade="80"/>
          <w:sz w:val="16"/>
          <w:szCs w:val="16"/>
        </w:rPr>
        <w:t xml:space="preserve">misses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sidRPr="00410159">
        <w:rPr>
          <w:rFonts w:asciiTheme="majorHAnsi" w:hAnsiTheme="majorHAnsi" w:cstheme="majorHAnsi"/>
          <w:color w:val="808080" w:themeColor="background1" w:themeShade="80"/>
          <w:sz w:val="16"/>
          <w:szCs w:val="16"/>
        </w:rPr>
        <w:t xml:space="preserve">/18] </w:t>
      </w:r>
    </w:p>
    <w:p w:rsidR="00320BC6" w:rsidRPr="00410159" w:rsidRDefault="00AA1FA2"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7</w:t>
      </w:r>
      <w:r w:rsidRPr="00410159">
        <w:rPr>
          <w:rFonts w:asciiTheme="majorHAnsi" w:hAnsiTheme="majorHAnsi" w:cstheme="majorHAnsi"/>
          <w:color w:val="808080" w:themeColor="background1" w:themeShade="80"/>
          <w:sz w:val="16"/>
          <w:szCs w:val="16"/>
        </w:rPr>
        <w:t xml:space="preserve"> - </w:t>
      </w:r>
      <w:r w:rsidRPr="000A72AB">
        <w:rPr>
          <w:rFonts w:asciiTheme="majorHAnsi" w:hAnsiTheme="majorHAnsi" w:cstheme="majorHAnsi"/>
          <w:color w:val="808080" w:themeColor="background1" w:themeShade="80"/>
          <w:sz w:val="16"/>
          <w:szCs w:val="16"/>
        </w:rPr>
        <w:t xml:space="preserve">scmp.com/news/china/diplomacy/article/2179505/us-china-trade-war-timeline-first-tariffs-90-day-truce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26</w:t>
      </w:r>
      <w:r w:rsidRPr="00410159">
        <w:rPr>
          <w:rFonts w:asciiTheme="majorHAnsi" w:hAnsiTheme="majorHAnsi" w:cstheme="majorHAnsi"/>
          <w:color w:val="808080" w:themeColor="background1" w:themeShade="80"/>
          <w:sz w:val="16"/>
          <w:szCs w:val="16"/>
        </w:rPr>
        <w:t xml:space="preserve">/18] </w:t>
      </w:r>
    </w:p>
    <w:p w:rsidR="00F87886" w:rsidRDefault="00AA1FA2" w:rsidP="006301EA">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8</w:t>
      </w:r>
      <w:r w:rsidRPr="00410159">
        <w:rPr>
          <w:rFonts w:asciiTheme="majorHAnsi" w:hAnsiTheme="majorHAnsi" w:cstheme="majorHAnsi"/>
          <w:noProof/>
          <w:color w:val="808080" w:themeColor="background1" w:themeShade="80"/>
          <w:sz w:val="16"/>
          <w:szCs w:val="16"/>
        </w:rPr>
        <w:t xml:space="preserve"> - </w:t>
      </w:r>
      <w:r w:rsidRPr="00F87886">
        <w:rPr>
          <w:rFonts w:asciiTheme="majorHAnsi" w:hAnsiTheme="majorHAnsi" w:cstheme="majorHAnsi"/>
          <w:noProof/>
          <w:color w:val="808080" w:themeColor="background1" w:themeShade="80"/>
          <w:sz w:val="16"/>
          <w:szCs w:val="16"/>
        </w:rPr>
        <w:t xml:space="preserve">cbsnews.com/news/2018-holiday-sales-soar-to-6-year-high/ </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12</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20</w:t>
      </w:r>
      <w:r w:rsidRPr="00410159">
        <w:rPr>
          <w:rFonts w:asciiTheme="majorHAnsi" w:hAnsiTheme="majorHAnsi" w:cstheme="majorHAnsi"/>
          <w:noProof/>
          <w:color w:val="808080" w:themeColor="background1" w:themeShade="80"/>
          <w:sz w:val="16"/>
          <w:szCs w:val="16"/>
        </w:rPr>
        <w:t>/18]</w:t>
      </w:r>
    </w:p>
    <w:p w:rsidR="001D7A80" w:rsidRPr="00410159" w:rsidRDefault="00AA1FA2"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noProof/>
          <w:color w:val="808080" w:themeColor="background1" w:themeShade="80"/>
          <w:sz w:val="16"/>
          <w:szCs w:val="16"/>
        </w:rPr>
        <w:t>9</w:t>
      </w:r>
      <w:r w:rsidRPr="00410159">
        <w:rPr>
          <w:rFonts w:asciiTheme="majorHAnsi" w:hAnsiTheme="majorHAnsi" w:cstheme="majorHAnsi"/>
          <w:noProof/>
          <w:color w:val="808080" w:themeColor="background1" w:themeShade="80"/>
          <w:sz w:val="16"/>
          <w:szCs w:val="16"/>
        </w:rPr>
        <w:t xml:space="preserve"> - </w:t>
      </w:r>
      <w:r w:rsidRPr="00221616">
        <w:rPr>
          <w:rFonts w:asciiTheme="majorHAnsi" w:hAnsiTheme="majorHAnsi" w:cstheme="majorHAnsi"/>
          <w:noProof/>
          <w:color w:val="808080" w:themeColor="background1" w:themeShade="80"/>
          <w:sz w:val="16"/>
          <w:szCs w:val="16"/>
        </w:rPr>
        <w:t xml:space="preserve">nasdaq.com/article/british-ministers-split-over-next-brexit-steps-if-pms-deal-fails-20181220-00145 </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2</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2</w:t>
      </w:r>
      <w:r>
        <w:rPr>
          <w:rFonts w:asciiTheme="majorHAnsi" w:hAnsiTheme="majorHAnsi" w:cstheme="majorHAnsi"/>
          <w:noProof/>
          <w:color w:val="808080" w:themeColor="background1" w:themeShade="80"/>
          <w:sz w:val="16"/>
          <w:szCs w:val="16"/>
        </w:rPr>
        <w:t>0</w:t>
      </w:r>
      <w:r w:rsidRPr="00410159">
        <w:rPr>
          <w:rFonts w:asciiTheme="majorHAnsi" w:hAnsiTheme="majorHAnsi" w:cstheme="majorHAnsi"/>
          <w:noProof/>
          <w:color w:val="808080" w:themeColor="background1" w:themeShade="80"/>
          <w:sz w:val="16"/>
          <w:szCs w:val="16"/>
        </w:rPr>
        <w:t>/18]</w:t>
      </w:r>
    </w:p>
    <w:p w:rsidR="006F3D5B" w:rsidRPr="00410159" w:rsidRDefault="00AA1FA2"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10</w:t>
      </w:r>
      <w:r w:rsidRPr="00410159">
        <w:rPr>
          <w:rFonts w:asciiTheme="majorHAnsi" w:hAnsiTheme="majorHAnsi" w:cstheme="majorHAnsi"/>
          <w:color w:val="808080" w:themeColor="background1" w:themeShade="80"/>
          <w:sz w:val="16"/>
          <w:szCs w:val="16"/>
        </w:rPr>
        <w:t xml:space="preserve"> - </w:t>
      </w:r>
      <w:r w:rsidRPr="006F3D5B">
        <w:rPr>
          <w:rFonts w:asciiTheme="majorHAnsi" w:hAnsiTheme="majorHAnsi" w:cstheme="majorHAnsi"/>
          <w:color w:val="808080" w:themeColor="background1" w:themeShade="80"/>
          <w:sz w:val="16"/>
          <w:szCs w:val="16"/>
        </w:rPr>
        <w:t xml:space="preserve">ec.europa.eu/eurostat </w:t>
      </w:r>
      <w:r>
        <w:rPr>
          <w:rFonts w:asciiTheme="majorHAnsi" w:hAnsiTheme="majorHAnsi" w:cstheme="majorHAnsi"/>
          <w:color w:val="808080" w:themeColor="background1" w:themeShade="80"/>
          <w:sz w:val="16"/>
          <w:szCs w:val="16"/>
        </w:rPr>
        <w:t>[12</w:t>
      </w:r>
      <w:r w:rsidRPr="003F390D">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17</w:t>
      </w:r>
      <w:r w:rsidRPr="003F390D">
        <w:rPr>
          <w:rFonts w:asciiTheme="majorHAnsi" w:hAnsiTheme="majorHAnsi" w:cstheme="majorHAnsi"/>
          <w:color w:val="808080" w:themeColor="background1" w:themeShade="80"/>
          <w:sz w:val="16"/>
          <w:szCs w:val="16"/>
        </w:rPr>
        <w:t>/18]</w:t>
      </w:r>
    </w:p>
    <w:p w:rsidR="00C9320F" w:rsidRPr="00410159" w:rsidRDefault="00AA1FA2" w:rsidP="006301EA">
      <w:pPr>
        <w:spacing w:after="0" w:line="240" w:lineRule="auto"/>
        <w:rPr>
          <w:rFonts w:asciiTheme="majorHAnsi" w:hAnsiTheme="majorHAnsi" w:cstheme="majorHAnsi"/>
          <w:color w:val="808080" w:themeColor="background1" w:themeShade="80"/>
          <w:sz w:val="16"/>
          <w:szCs w:val="16"/>
        </w:rPr>
      </w:pPr>
      <w:r w:rsidRPr="009208A0">
        <w:rPr>
          <w:rFonts w:asciiTheme="majorHAnsi" w:hAnsiTheme="majorHAnsi" w:cstheme="majorHAnsi"/>
          <w:color w:val="808080" w:themeColor="background1" w:themeShade="80"/>
          <w:sz w:val="16"/>
          <w:szCs w:val="16"/>
        </w:rPr>
        <w:t>1</w:t>
      </w:r>
      <w:r w:rsidRPr="009208A0">
        <w:rPr>
          <w:rFonts w:asciiTheme="majorHAnsi" w:hAnsiTheme="majorHAnsi" w:cstheme="majorHAnsi"/>
          <w:color w:val="808080" w:themeColor="background1" w:themeShade="80"/>
          <w:sz w:val="16"/>
          <w:szCs w:val="16"/>
        </w:rPr>
        <w:t>1</w:t>
      </w:r>
      <w:r w:rsidRPr="009208A0">
        <w:rPr>
          <w:rFonts w:asciiTheme="majorHAnsi" w:hAnsiTheme="majorHAnsi" w:cstheme="majorHAnsi"/>
          <w:color w:val="808080" w:themeColor="background1" w:themeShade="80"/>
          <w:sz w:val="16"/>
          <w:szCs w:val="16"/>
        </w:rPr>
        <w:t xml:space="preserve"> - </w:t>
      </w:r>
      <w:r w:rsidRPr="009208A0">
        <w:rPr>
          <w:rFonts w:asciiTheme="majorHAnsi" w:hAnsiTheme="majorHAnsi" w:cstheme="majorHAnsi"/>
          <w:color w:val="808080" w:themeColor="background1" w:themeShade="80"/>
          <w:sz w:val="16"/>
          <w:szCs w:val="16"/>
        </w:rPr>
        <w:t xml:space="preserve">cnbc.com/2018/12/31/china-december-pmi-manufacturing-activity-contracts-more-than-expected.html </w:t>
      </w:r>
      <w:r w:rsidRPr="009208A0">
        <w:rPr>
          <w:rFonts w:asciiTheme="majorHAnsi" w:hAnsiTheme="majorHAnsi" w:cstheme="majorHAnsi"/>
          <w:color w:val="808080" w:themeColor="background1" w:themeShade="80"/>
          <w:sz w:val="16"/>
          <w:szCs w:val="16"/>
        </w:rPr>
        <w:t>[</w:t>
      </w:r>
      <w:r w:rsidRPr="009208A0">
        <w:rPr>
          <w:rFonts w:asciiTheme="majorHAnsi" w:hAnsiTheme="majorHAnsi" w:cstheme="majorHAnsi"/>
          <w:color w:val="808080" w:themeColor="background1" w:themeShade="80"/>
          <w:sz w:val="16"/>
          <w:szCs w:val="16"/>
        </w:rPr>
        <w:t>1</w:t>
      </w:r>
      <w:r w:rsidRPr="009208A0">
        <w:rPr>
          <w:rFonts w:asciiTheme="majorHAnsi" w:hAnsiTheme="majorHAnsi" w:cstheme="majorHAnsi"/>
          <w:color w:val="808080" w:themeColor="background1" w:themeShade="80"/>
          <w:sz w:val="16"/>
          <w:szCs w:val="16"/>
        </w:rPr>
        <w:t>2</w:t>
      </w:r>
      <w:r w:rsidRPr="009208A0">
        <w:rPr>
          <w:rFonts w:asciiTheme="majorHAnsi" w:hAnsiTheme="majorHAnsi" w:cstheme="majorHAnsi"/>
          <w:color w:val="808080" w:themeColor="background1" w:themeShade="80"/>
          <w:sz w:val="16"/>
          <w:szCs w:val="16"/>
        </w:rPr>
        <w:t>/</w:t>
      </w:r>
      <w:r w:rsidRPr="009208A0">
        <w:rPr>
          <w:rFonts w:asciiTheme="majorHAnsi" w:hAnsiTheme="majorHAnsi" w:cstheme="majorHAnsi"/>
          <w:color w:val="808080" w:themeColor="background1" w:themeShade="80"/>
          <w:sz w:val="16"/>
          <w:szCs w:val="16"/>
        </w:rPr>
        <w:t>3</w:t>
      </w:r>
      <w:r w:rsidRPr="009208A0">
        <w:rPr>
          <w:rFonts w:asciiTheme="majorHAnsi" w:hAnsiTheme="majorHAnsi" w:cstheme="majorHAnsi"/>
          <w:color w:val="808080" w:themeColor="background1" w:themeShade="80"/>
          <w:sz w:val="16"/>
          <w:szCs w:val="16"/>
        </w:rPr>
        <w:t>1</w:t>
      </w:r>
      <w:r w:rsidRPr="009208A0">
        <w:rPr>
          <w:rFonts w:asciiTheme="majorHAnsi" w:hAnsiTheme="majorHAnsi" w:cstheme="majorHAnsi"/>
          <w:color w:val="808080" w:themeColor="background1" w:themeShade="80"/>
          <w:sz w:val="16"/>
          <w:szCs w:val="16"/>
        </w:rPr>
        <w:t>/18]</w:t>
      </w:r>
    </w:p>
    <w:p w:rsidR="00FF43B1" w:rsidRPr="00410159" w:rsidRDefault="00AA1FA2"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 xml:space="preserve"> - </w:t>
      </w:r>
      <w:r w:rsidRPr="006833BB">
        <w:rPr>
          <w:rFonts w:asciiTheme="majorHAnsi" w:hAnsiTheme="majorHAnsi" w:cstheme="majorHAnsi"/>
          <w:color w:val="808080" w:themeColor="background1" w:themeShade="80"/>
          <w:sz w:val="16"/>
          <w:szCs w:val="16"/>
        </w:rPr>
        <w:t>forbes.com/sites/davidvolodzko/2018/12/21/asias-manufacturing-declin</w:t>
      </w:r>
      <w:r>
        <w:rPr>
          <w:rFonts w:asciiTheme="majorHAnsi" w:hAnsiTheme="majorHAnsi" w:cstheme="majorHAnsi"/>
          <w:color w:val="808080" w:themeColor="background1" w:themeShade="80"/>
          <w:sz w:val="16"/>
          <w:szCs w:val="16"/>
        </w:rPr>
        <w:t>e-is-the-wake-up-call-it-needs</w:t>
      </w:r>
      <w:r w:rsidRPr="006833BB">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21</w:t>
      </w:r>
      <w:r w:rsidRPr="00410159">
        <w:rPr>
          <w:rFonts w:asciiTheme="majorHAnsi" w:hAnsiTheme="majorHAnsi" w:cstheme="majorHAnsi"/>
          <w:color w:val="808080" w:themeColor="background1" w:themeShade="80"/>
          <w:sz w:val="16"/>
          <w:szCs w:val="16"/>
        </w:rPr>
        <w:t>/18]</w:t>
      </w:r>
    </w:p>
    <w:p w:rsidR="000D56F5" w:rsidRPr="00C12543" w:rsidRDefault="00AA1FA2"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 markets.on.nytimes.com/research/markets/worldmarkets/worldmarkets.asp</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/18]</w:t>
      </w:r>
    </w:p>
    <w:p w:rsidR="00DD7012" w:rsidRPr="00C12543" w:rsidRDefault="00AA1FA2" w:rsidP="006301EA">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 xml:space="preserve"> - msci.com/end-of-day-data-search [</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/18]</w:t>
      </w:r>
    </w:p>
    <w:p w:rsidR="00201278" w:rsidRDefault="00AA1FA2" w:rsidP="006301EA">
      <w:pPr>
        <w:spacing w:after="0" w:line="240" w:lineRule="auto"/>
        <w:rPr>
          <w:rFonts w:asciiTheme="majorHAnsi" w:hAnsiTheme="majorHAnsi" w:cstheme="majorHAnsi"/>
          <w:color w:val="808080" w:themeColor="background1" w:themeShade="80"/>
          <w:sz w:val="16"/>
          <w:szCs w:val="16"/>
        </w:rPr>
      </w:pP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 </w:t>
      </w:r>
      <w:r w:rsidRPr="00410159">
        <w:rPr>
          <w:rFonts w:asciiTheme="majorHAnsi" w:hAnsiTheme="majorHAnsi" w:cstheme="majorHAnsi"/>
          <w:color w:val="808080" w:themeColor="background1" w:themeShade="80"/>
          <w:sz w:val="16"/>
          <w:szCs w:val="16"/>
        </w:rPr>
        <w:t xml:space="preserve">marketwatch.com/investing/index/dxy/historical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 xml:space="preserve">/18] </w:t>
      </w:r>
    </w:p>
    <w:p w:rsidR="00B53DB8" w:rsidRDefault="00AA1FA2" w:rsidP="006301EA">
      <w:pPr>
        <w:spacing w:after="0" w:line="240" w:lineRule="auto"/>
        <w:rPr>
          <w:rFonts w:asciiTheme="majorHAnsi" w:hAnsiTheme="majorHAnsi" w:cstheme="majorHAnsi"/>
          <w:noProof/>
          <w:color w:val="808080" w:themeColor="background1" w:themeShade="80"/>
          <w:sz w:val="16"/>
          <w:szCs w:val="16"/>
        </w:rPr>
      </w:pP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6</w:t>
      </w:r>
      <w:r w:rsidRPr="00B53DB8">
        <w:rPr>
          <w:rFonts w:asciiTheme="majorHAnsi" w:hAnsiTheme="majorHAnsi" w:cstheme="majorHAnsi"/>
          <w:noProof/>
          <w:color w:val="808080" w:themeColor="background1" w:themeShade="80"/>
          <w:sz w:val="16"/>
          <w:szCs w:val="16"/>
        </w:rPr>
        <w:t xml:space="preserve"> - money.cnn.com/data/commodities/ [12/31/18]</w:t>
      </w:r>
    </w:p>
    <w:p w:rsidR="008C4B92" w:rsidRPr="006301EA" w:rsidRDefault="00AA1FA2" w:rsidP="006301EA">
      <w:pPr>
        <w:spacing w:after="0" w:line="240" w:lineRule="auto"/>
        <w:rPr>
          <w:rFonts w:asciiTheme="majorHAnsi" w:hAnsiTheme="majorHAnsi" w:cs="Calibri"/>
          <w:color w:val="646464"/>
          <w:sz w:val="16"/>
          <w:szCs w:val="16"/>
        </w:rPr>
      </w:pPr>
      <w:r>
        <w:rPr>
          <w:rFonts w:asciiTheme="majorHAnsi" w:hAnsiTheme="majorHAnsi" w:cstheme="majorHAnsi"/>
          <w:color w:val="808080" w:themeColor="background1" w:themeShade="80"/>
          <w:sz w:val="16"/>
          <w:szCs w:val="16"/>
        </w:rPr>
        <w:t>17</w:t>
      </w:r>
      <w:r w:rsidRPr="00410159">
        <w:rPr>
          <w:rFonts w:asciiTheme="majorHAnsi" w:hAnsiTheme="majorHAnsi" w:cstheme="majorHAnsi"/>
          <w:color w:val="808080" w:themeColor="background1" w:themeShade="80"/>
          <w:sz w:val="16"/>
          <w:szCs w:val="16"/>
        </w:rPr>
        <w:t xml:space="preserve"> - freddiemac.com/pmms/archive.html [</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27</w:t>
      </w:r>
      <w:r w:rsidRPr="00410159">
        <w:rPr>
          <w:rFonts w:asciiTheme="majorHAnsi" w:hAnsiTheme="majorHAnsi" w:cstheme="majorHAnsi"/>
          <w:color w:val="808080" w:themeColor="background1" w:themeShade="80"/>
          <w:sz w:val="16"/>
          <w:szCs w:val="16"/>
        </w:rPr>
        <w:t>/18]</w:t>
      </w:r>
    </w:p>
    <w:p w:rsidR="006301EA" w:rsidRDefault="00AA1FA2"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18</w:t>
      </w:r>
      <w:r w:rsidRPr="00410159">
        <w:rPr>
          <w:rFonts w:asciiTheme="majorHAnsi" w:hAnsiTheme="majorHAnsi" w:cstheme="majorHAnsi"/>
          <w:color w:val="808080" w:themeColor="background1" w:themeShade="80"/>
          <w:sz w:val="16"/>
          <w:szCs w:val="16"/>
        </w:rPr>
        <w:t xml:space="preserve"> - </w:t>
      </w:r>
      <w:r w:rsidRPr="00AB0BE9">
        <w:rPr>
          <w:rFonts w:asciiTheme="majorHAnsi" w:hAnsiTheme="majorHAnsi" w:cstheme="majorHAnsi"/>
          <w:color w:val="808080" w:themeColor="background1" w:themeShade="80"/>
          <w:sz w:val="16"/>
          <w:szCs w:val="16"/>
        </w:rPr>
        <w:t xml:space="preserve">cleveland.com/business/2018/12/ohio-us-home-sales-down-in-november-from-last-years-levels.html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19</w:t>
      </w:r>
      <w:r w:rsidRPr="00410159">
        <w:rPr>
          <w:rFonts w:asciiTheme="majorHAnsi" w:hAnsiTheme="majorHAnsi" w:cstheme="majorHAnsi"/>
          <w:color w:val="808080" w:themeColor="background1" w:themeShade="80"/>
          <w:sz w:val="16"/>
          <w:szCs w:val="16"/>
        </w:rPr>
        <w:t>/18]</w:t>
      </w:r>
    </w:p>
    <w:p w:rsidR="007534D1" w:rsidRPr="00410159" w:rsidRDefault="00AA1FA2"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Pr>
          <w:rFonts w:asciiTheme="majorHAnsi" w:hAnsiTheme="majorHAnsi" w:cstheme="majorHAnsi"/>
          <w:color w:val="808080" w:themeColor="background1" w:themeShade="80"/>
          <w:sz w:val="16"/>
          <w:szCs w:val="16"/>
        </w:rPr>
        <w:t xml:space="preserve"> - </w:t>
      </w:r>
      <w:r w:rsidRPr="008059E3">
        <w:rPr>
          <w:rFonts w:asciiTheme="majorHAnsi" w:hAnsiTheme="majorHAnsi" w:cstheme="majorHAnsi"/>
          <w:color w:val="808080" w:themeColor="background1" w:themeShade="80"/>
          <w:sz w:val="16"/>
          <w:szCs w:val="16"/>
        </w:rPr>
        <w:t>zillow.com/research/october-case-shiller-home-prices-22533/</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12/</w:t>
      </w:r>
      <w:r>
        <w:rPr>
          <w:rFonts w:asciiTheme="majorHAnsi" w:hAnsiTheme="majorHAnsi" w:cstheme="majorHAnsi"/>
          <w:color w:val="808080" w:themeColor="background1" w:themeShade="80"/>
          <w:sz w:val="16"/>
          <w:szCs w:val="16"/>
        </w:rPr>
        <w:t>26</w:t>
      </w:r>
      <w:r w:rsidRPr="00410159">
        <w:rPr>
          <w:rFonts w:asciiTheme="majorHAnsi" w:hAnsiTheme="majorHAnsi" w:cstheme="majorHAnsi"/>
          <w:color w:val="808080" w:themeColor="background1" w:themeShade="80"/>
          <w:sz w:val="16"/>
          <w:szCs w:val="16"/>
        </w:rPr>
        <w:t>/18]</w:t>
      </w:r>
    </w:p>
    <w:p w:rsidR="00FE5876" w:rsidRPr="00410159" w:rsidRDefault="00AA1FA2"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20 - </w:t>
      </w:r>
      <w:r w:rsidRPr="005A39D1">
        <w:rPr>
          <w:rFonts w:asciiTheme="majorHAnsi" w:hAnsiTheme="majorHAnsi" w:cstheme="majorHAnsi"/>
          <w:color w:val="808080" w:themeColor="background1" w:themeShade="80"/>
          <w:sz w:val="16"/>
          <w:szCs w:val="16"/>
        </w:rPr>
        <w:t xml:space="preserve">cnn.com/2018/12/28/investing/stock-market-december-volatility/index.html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12/2</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w:t>
      </w:r>
    </w:p>
    <w:p w:rsidR="0087554D" w:rsidRPr="00410159" w:rsidRDefault="00AA1FA2"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1</w:t>
      </w:r>
      <w:r w:rsidRPr="00B46640">
        <w:rPr>
          <w:rFonts w:asciiTheme="majorHAnsi" w:hAnsiTheme="majorHAnsi" w:cstheme="majorHAnsi"/>
          <w:color w:val="808080" w:themeColor="background1" w:themeShade="80"/>
          <w:sz w:val="16"/>
          <w:szCs w:val="16"/>
        </w:rPr>
        <w:t xml:space="preserve"> - markets.wsj.com/us [12/29/17]</w:t>
      </w:r>
      <w:r w:rsidRPr="00F23626">
        <w:rPr>
          <w:noProof/>
        </w:rPr>
        <w:t xml:space="preserve"> </w:t>
      </w:r>
      <w:r w:rsidRPr="00D66948">
        <w:rPr>
          <w:noProof/>
        </w:rPr>
        <w:t xml:space="preserve"> </w:t>
      </w:r>
    </w:p>
    <w:p w:rsidR="0087554D" w:rsidRPr="00410159" w:rsidRDefault="00AA1FA2" w:rsidP="006301EA">
      <w:pPr>
        <w:spacing w:after="0" w:line="240" w:lineRule="auto"/>
        <w:rPr>
          <w:rStyle w:val="st"/>
          <w:rFonts w:asciiTheme="majorHAnsi" w:hAnsiTheme="majorHAnsi" w:cstheme="majorHAnsi"/>
          <w:color w:val="808080" w:themeColor="background1" w:themeShade="80"/>
          <w:sz w:val="16"/>
          <w:szCs w:val="16"/>
        </w:rPr>
      </w:pPr>
      <w:bookmarkStart w:id="6" w:name="_Hlk533682436"/>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 xml:space="preserve"> - </w:t>
      </w:r>
      <w:r w:rsidRPr="00E62E5E">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26</w:t>
      </w:r>
      <w:r w:rsidRPr="00410159">
        <w:rPr>
          <w:rFonts w:asciiTheme="majorHAnsi" w:hAnsiTheme="majorHAnsi" w:cstheme="majorHAnsi"/>
          <w:color w:val="808080" w:themeColor="background1" w:themeShade="80"/>
          <w:sz w:val="16"/>
          <w:szCs w:val="16"/>
        </w:rPr>
        <w:t>/18]</w:t>
      </w:r>
    </w:p>
    <w:bookmarkEnd w:id="6"/>
    <w:p w:rsidR="009E1D58" w:rsidRPr="006301EA" w:rsidRDefault="00AA1FA2" w:rsidP="006301EA">
      <w:pPr>
        <w:spacing w:after="0" w:line="240" w:lineRule="auto"/>
        <w:rPr>
          <w:rFonts w:asciiTheme="majorHAnsi" w:hAnsiTheme="majorHAnsi" w:cstheme="majorHAnsi"/>
          <w:noProof/>
          <w:color w:val="808080" w:themeColor="background1" w:themeShade="80"/>
          <w:sz w:val="16"/>
          <w:szCs w:val="16"/>
        </w:rPr>
      </w:pPr>
      <w:r w:rsidRPr="00BD1E6D">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3</w:t>
      </w:r>
      <w:r w:rsidRPr="00BD1E6D">
        <w:rPr>
          <w:rFonts w:asciiTheme="majorHAnsi" w:hAnsiTheme="majorHAnsi" w:cstheme="majorHAnsi"/>
          <w:color w:val="808080" w:themeColor="background1" w:themeShade="80"/>
          <w:sz w:val="16"/>
          <w:szCs w:val="16"/>
        </w:rPr>
        <w:t xml:space="preserve"> - </w:t>
      </w:r>
      <w:r w:rsidRPr="006301EA">
        <w:rPr>
          <w:rFonts w:asciiTheme="majorHAnsi" w:hAnsiTheme="majorHAnsi" w:cstheme="majorHAnsi"/>
          <w:color w:val="808080" w:themeColor="background1" w:themeShade="80"/>
          <w:sz w:val="16"/>
          <w:szCs w:val="16"/>
        </w:rPr>
        <w:t xml:space="preserve">tinyurl.com/y94rpn9x </w:t>
      </w:r>
      <w:r w:rsidRPr="00BD1E6D">
        <w:rPr>
          <w:rFonts w:asciiTheme="majorHAnsi" w:hAnsiTheme="majorHAnsi" w:cstheme="majorHAnsi"/>
          <w:color w:val="808080" w:themeColor="background1" w:themeShade="80"/>
          <w:sz w:val="16"/>
          <w:szCs w:val="16"/>
        </w:rPr>
        <w:t>[</w:t>
      </w:r>
      <w:r w:rsidRPr="00BD1E6D">
        <w:rPr>
          <w:rFonts w:asciiTheme="majorHAnsi" w:hAnsiTheme="majorHAnsi" w:cstheme="majorHAnsi"/>
          <w:color w:val="808080" w:themeColor="background1" w:themeShade="80"/>
          <w:sz w:val="16"/>
          <w:szCs w:val="16"/>
        </w:rPr>
        <w:t>12/</w:t>
      </w:r>
      <w:r>
        <w:rPr>
          <w:rFonts w:asciiTheme="majorHAnsi" w:hAnsiTheme="majorHAnsi" w:cstheme="majorHAnsi"/>
          <w:color w:val="808080" w:themeColor="background1" w:themeShade="80"/>
          <w:sz w:val="16"/>
          <w:szCs w:val="16"/>
        </w:rPr>
        <w:t>24</w:t>
      </w:r>
      <w:r w:rsidRPr="00BD1E6D">
        <w:rPr>
          <w:rFonts w:asciiTheme="majorHAnsi" w:hAnsiTheme="majorHAnsi" w:cstheme="majorHAnsi"/>
          <w:color w:val="808080" w:themeColor="background1" w:themeShade="80"/>
          <w:sz w:val="16"/>
          <w:szCs w:val="16"/>
        </w:rPr>
        <w:t>/18]</w:t>
      </w:r>
      <w:r w:rsidRPr="00BD1E6D">
        <w:rPr>
          <w:rFonts w:asciiTheme="majorHAnsi" w:hAnsiTheme="majorHAnsi" w:cstheme="majorHAnsi"/>
          <w:noProof/>
          <w:color w:val="808080" w:themeColor="background1" w:themeShade="80"/>
          <w:sz w:val="16"/>
          <w:szCs w:val="16"/>
        </w:rPr>
        <w:t xml:space="preserve"> </w:t>
      </w:r>
    </w:p>
    <w:sectPr w:rsidR="009E1D58" w:rsidRPr="006301EA"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75B4E842">
      <w:start w:val="1"/>
      <w:numFmt w:val="bullet"/>
      <w:lvlText w:val=""/>
      <w:lvlJc w:val="left"/>
      <w:pPr>
        <w:ind w:left="720" w:hanging="360"/>
      </w:pPr>
      <w:rPr>
        <w:rFonts w:ascii="Symbol" w:hAnsi="Symbol" w:hint="default"/>
      </w:rPr>
    </w:lvl>
    <w:lvl w:ilvl="1" w:tplc="DD4097CC" w:tentative="1">
      <w:start w:val="1"/>
      <w:numFmt w:val="bullet"/>
      <w:lvlText w:val="o"/>
      <w:lvlJc w:val="left"/>
      <w:pPr>
        <w:ind w:left="1440" w:hanging="360"/>
      </w:pPr>
      <w:rPr>
        <w:rFonts w:ascii="Courier New" w:hAnsi="Courier New" w:cs="Courier New" w:hint="default"/>
      </w:rPr>
    </w:lvl>
    <w:lvl w:ilvl="2" w:tplc="05BC76F0" w:tentative="1">
      <w:start w:val="1"/>
      <w:numFmt w:val="bullet"/>
      <w:lvlText w:val=""/>
      <w:lvlJc w:val="left"/>
      <w:pPr>
        <w:ind w:left="2160" w:hanging="360"/>
      </w:pPr>
      <w:rPr>
        <w:rFonts w:ascii="Wingdings" w:hAnsi="Wingdings" w:hint="default"/>
      </w:rPr>
    </w:lvl>
    <w:lvl w:ilvl="3" w:tplc="36C0E8EA" w:tentative="1">
      <w:start w:val="1"/>
      <w:numFmt w:val="bullet"/>
      <w:lvlText w:val=""/>
      <w:lvlJc w:val="left"/>
      <w:pPr>
        <w:ind w:left="2880" w:hanging="360"/>
      </w:pPr>
      <w:rPr>
        <w:rFonts w:ascii="Symbol" w:hAnsi="Symbol" w:hint="default"/>
      </w:rPr>
    </w:lvl>
    <w:lvl w:ilvl="4" w:tplc="D8EC4F54" w:tentative="1">
      <w:start w:val="1"/>
      <w:numFmt w:val="bullet"/>
      <w:lvlText w:val="o"/>
      <w:lvlJc w:val="left"/>
      <w:pPr>
        <w:ind w:left="3600" w:hanging="360"/>
      </w:pPr>
      <w:rPr>
        <w:rFonts w:ascii="Courier New" w:hAnsi="Courier New" w:cs="Courier New" w:hint="default"/>
      </w:rPr>
    </w:lvl>
    <w:lvl w:ilvl="5" w:tplc="A73AF99E" w:tentative="1">
      <w:start w:val="1"/>
      <w:numFmt w:val="bullet"/>
      <w:lvlText w:val=""/>
      <w:lvlJc w:val="left"/>
      <w:pPr>
        <w:ind w:left="4320" w:hanging="360"/>
      </w:pPr>
      <w:rPr>
        <w:rFonts w:ascii="Wingdings" w:hAnsi="Wingdings" w:hint="default"/>
      </w:rPr>
    </w:lvl>
    <w:lvl w:ilvl="6" w:tplc="CAC231DE" w:tentative="1">
      <w:start w:val="1"/>
      <w:numFmt w:val="bullet"/>
      <w:lvlText w:val=""/>
      <w:lvlJc w:val="left"/>
      <w:pPr>
        <w:ind w:left="5040" w:hanging="360"/>
      </w:pPr>
      <w:rPr>
        <w:rFonts w:ascii="Symbol" w:hAnsi="Symbol" w:hint="default"/>
      </w:rPr>
    </w:lvl>
    <w:lvl w:ilvl="7" w:tplc="78B649F6" w:tentative="1">
      <w:start w:val="1"/>
      <w:numFmt w:val="bullet"/>
      <w:lvlText w:val="o"/>
      <w:lvlJc w:val="left"/>
      <w:pPr>
        <w:ind w:left="5760" w:hanging="360"/>
      </w:pPr>
      <w:rPr>
        <w:rFonts w:ascii="Courier New" w:hAnsi="Courier New" w:cs="Courier New" w:hint="default"/>
      </w:rPr>
    </w:lvl>
    <w:lvl w:ilvl="8" w:tplc="BC3AB48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F86"/>
    <w:rsid w:val="00561F86"/>
    <w:rsid w:val="00AA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0CDF"/>
  <w15:docId w15:val="{FA6563DB-90C1-45D8-AF28-0BF764BE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customStyle="1" w:styleId="BasicParagraph">
    <w:name w:val="[Basic Paragraph]"/>
    <w:basedOn w:val="Normal"/>
    <w:uiPriority w:val="99"/>
    <w:rsid w:val="00AA1FA2"/>
    <w:pPr>
      <w:widowControl w:val="0"/>
      <w:autoSpaceDE w:val="0"/>
      <w:autoSpaceDN w:val="0"/>
      <w:adjustRightInd w:val="0"/>
      <w:spacing w:after="0" w:line="288" w:lineRule="auto"/>
    </w:pPr>
    <w:rPr>
      <w:rFonts w:ascii="MinionPro-Regular" w:eastAsia="Times New Roman"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Larry Krone</cp:lastModifiedBy>
  <cp:revision>2</cp:revision>
  <dcterms:created xsi:type="dcterms:W3CDTF">2019-01-15T15:34:00Z</dcterms:created>
  <dcterms:modified xsi:type="dcterms:W3CDTF">2019-01-15T15:34:00Z</dcterms:modified>
</cp:coreProperties>
</file>