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C5" w:rsidRPr="00F2282B" w:rsidRDefault="001F5FE3" w:rsidP="00FA7533">
      <w:pPr>
        <w:spacing w:before="160" w:line="276" w:lineRule="auto"/>
        <w:jc w:val="center"/>
        <w:rPr>
          <w:rFonts w:asciiTheme="majorHAnsi" w:hAnsiTheme="majorHAnsi" w:cs="Times New Roman"/>
          <w:i/>
          <w:sz w:val="28"/>
          <w:szCs w:val="24"/>
        </w:rPr>
      </w:pPr>
      <w:r w:rsidRPr="00F2282B">
        <w:rPr>
          <w:rFonts w:asciiTheme="majorHAnsi" w:hAnsiTheme="majorHAnsi" w:cs="Times New Roman"/>
          <w:i/>
          <w:sz w:val="28"/>
          <w:szCs w:val="24"/>
        </w:rPr>
        <w:t xml:space="preserve">In this month’s recap: </w:t>
      </w:r>
      <w:r w:rsidRPr="00F2282B">
        <w:rPr>
          <w:rFonts w:asciiTheme="majorHAnsi" w:hAnsiTheme="majorHAnsi" w:cs="Times New Roman"/>
          <w:i/>
          <w:sz w:val="28"/>
          <w:szCs w:val="24"/>
        </w:rPr>
        <w:t>tariff talk weighs on equities worldwide</w:t>
      </w:r>
      <w:r w:rsidRPr="00F2282B">
        <w:rPr>
          <w:rFonts w:asciiTheme="majorHAnsi" w:hAnsiTheme="majorHAnsi" w:cs="Times New Roman"/>
          <w:i/>
          <w:sz w:val="28"/>
          <w:szCs w:val="24"/>
        </w:rPr>
        <w:t xml:space="preserve">, </w:t>
      </w:r>
      <w:r w:rsidRPr="00F2282B">
        <w:rPr>
          <w:rFonts w:asciiTheme="majorHAnsi" w:hAnsiTheme="majorHAnsi" w:cs="Times New Roman"/>
          <w:i/>
          <w:sz w:val="28"/>
          <w:szCs w:val="24"/>
        </w:rPr>
        <w:t xml:space="preserve">oil prices jump </w:t>
      </w:r>
      <w:r w:rsidRPr="00F2282B">
        <w:rPr>
          <w:rFonts w:asciiTheme="majorHAnsi" w:hAnsiTheme="majorHAnsi" w:cs="Times New Roman"/>
          <w:i/>
          <w:sz w:val="28"/>
          <w:szCs w:val="24"/>
        </w:rPr>
        <w:t xml:space="preserve">10%, and </w:t>
      </w:r>
      <w:r w:rsidRPr="00F2282B">
        <w:rPr>
          <w:rFonts w:asciiTheme="majorHAnsi" w:hAnsiTheme="majorHAnsi" w:cs="Times New Roman"/>
          <w:i/>
          <w:sz w:val="28"/>
          <w:szCs w:val="24"/>
        </w:rPr>
        <w:t>the Fed raises rates once more</w:t>
      </w:r>
      <w:r w:rsidRPr="00F2282B">
        <w:rPr>
          <w:rFonts w:asciiTheme="majorHAnsi" w:hAnsiTheme="majorHAnsi" w:cs="Times New Roman"/>
          <w:i/>
          <w:sz w:val="28"/>
          <w:szCs w:val="24"/>
        </w:rPr>
        <w:t>.</w:t>
      </w:r>
    </w:p>
    <w:p w:rsidR="00F82321" w:rsidRPr="00A56786" w:rsidRDefault="001F5FE3" w:rsidP="00FA7533">
      <w:pPr>
        <w:spacing w:before="160" w:line="276" w:lineRule="auto"/>
        <w:jc w:val="center"/>
        <w:rPr>
          <w:rFonts w:asciiTheme="majorHAnsi" w:hAnsiTheme="majorHAnsi" w:cs="Times New Roman"/>
          <w:b/>
          <w:color w:val="000000" w:themeColor="text1"/>
          <w:sz w:val="72"/>
          <w:szCs w:val="24"/>
        </w:rPr>
      </w:pPr>
      <w:r>
        <w:rPr>
          <w:rFonts w:asciiTheme="majorHAnsi" w:hAnsiTheme="majorHAnsi" w:cs="Times New Roman"/>
          <w:color w:val="000000" w:themeColor="text1"/>
          <w:szCs w:val="24"/>
        </w:rPr>
        <w:br/>
      </w: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1F5FE3" w:rsidP="00FA7533">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A56786" w:rsidRDefault="001F5FE3" w:rsidP="00FA7533">
      <w:pPr>
        <w:spacing w:before="160" w:line="276" w:lineRule="auto"/>
        <w:jc w:val="center"/>
        <w:rPr>
          <w:rFonts w:asciiTheme="majorHAnsi" w:hAnsiTheme="majorHAnsi" w:cs="Times New Roman"/>
          <w:color w:val="808080" w:themeColor="background1" w:themeShade="80"/>
          <w:sz w:val="12"/>
          <w:szCs w:val="24"/>
        </w:rPr>
      </w:pPr>
    </w:p>
    <w:p w:rsidR="00F82321" w:rsidRPr="002544C5" w:rsidRDefault="001F5FE3" w:rsidP="00FA7533">
      <w:pPr>
        <w:spacing w:before="160" w:line="276" w:lineRule="auto"/>
        <w:jc w:val="center"/>
        <w:rPr>
          <w:rFonts w:asciiTheme="majorHAnsi" w:hAnsiTheme="majorHAnsi" w:cs="Times New Roman"/>
          <w:i/>
          <w:color w:val="808080" w:themeColor="background1" w:themeShade="80"/>
          <w:sz w:val="24"/>
          <w:szCs w:val="24"/>
        </w:rPr>
      </w:pPr>
      <w:r>
        <w:rPr>
          <w:rFonts w:asciiTheme="majorHAnsi" w:hAnsiTheme="majorHAnsi" w:cs="Times New Roman"/>
          <w:i/>
          <w:color w:val="808080" w:themeColor="background1" w:themeShade="80"/>
          <w:sz w:val="24"/>
          <w:szCs w:val="24"/>
        </w:rPr>
        <w:t>July</w:t>
      </w:r>
      <w:r w:rsidRPr="002544C5">
        <w:rPr>
          <w:rFonts w:asciiTheme="majorHAnsi" w:hAnsiTheme="majorHAnsi" w:cs="Times New Roman"/>
          <w:i/>
          <w:color w:val="808080" w:themeColor="background1" w:themeShade="80"/>
          <w:sz w:val="24"/>
          <w:szCs w:val="24"/>
        </w:rPr>
        <w:t xml:space="preserve"> 2018</w:t>
      </w:r>
    </w:p>
    <w:p w:rsidR="002544C5" w:rsidRPr="00B2579B" w:rsidRDefault="001F5FE3" w:rsidP="00FA7533">
      <w:pPr>
        <w:spacing w:before="160" w:line="276" w:lineRule="auto"/>
        <w:jc w:val="center"/>
        <w:rPr>
          <w:rFonts w:asciiTheme="majorHAnsi" w:hAnsiTheme="majorHAnsi" w:cs="Times New Roman"/>
          <w:color w:val="000000" w:themeColor="text1"/>
          <w:szCs w:val="24"/>
        </w:rPr>
      </w:pPr>
    </w:p>
    <w:p w:rsidR="00775662" w:rsidRDefault="001F5FE3" w:rsidP="00FA7533">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THE </w:t>
      </w:r>
      <w:r w:rsidRPr="00775662">
        <w:rPr>
          <w:rFonts w:asciiTheme="majorHAnsi" w:hAnsiTheme="majorHAnsi"/>
          <w:b/>
          <w:color w:val="3E7BB6"/>
          <w:sz w:val="28"/>
          <w:szCs w:val="24"/>
        </w:rPr>
        <w:t>MONTH IN BRIEF</w:t>
      </w:r>
    </w:p>
    <w:p w:rsidR="00775662" w:rsidRPr="008E7C73" w:rsidRDefault="001F5FE3" w:rsidP="00FA7533">
      <w:pPr>
        <w:spacing w:line="276" w:lineRule="auto"/>
        <w:jc w:val="both"/>
        <w:rPr>
          <w:rFonts w:asciiTheme="majorHAnsi" w:hAnsiTheme="majorHAnsi"/>
          <w:sz w:val="24"/>
          <w:szCs w:val="24"/>
        </w:rPr>
      </w:pPr>
      <w:r w:rsidRPr="008E7C73">
        <w:rPr>
          <w:rFonts w:asciiTheme="majorHAnsi" w:hAnsiTheme="majorHAnsi"/>
          <w:sz w:val="24"/>
          <w:szCs w:val="24"/>
        </w:rPr>
        <w:t>While segments of the stock market rallied in June, assumptions that a global trade war was starting hurt the blue chips – the Dow Jones Industrial Average lost 0.59% last month. As the U.S., European Union, and China exchanged tariff threat</w:t>
      </w:r>
      <w:r w:rsidRPr="008E7C73">
        <w:rPr>
          <w:rFonts w:asciiTheme="majorHAnsi" w:hAnsiTheme="majorHAnsi"/>
          <w:sz w:val="24"/>
          <w:szCs w:val="24"/>
        </w:rPr>
        <w:t xml:space="preserve">s, equity benchmarks worldwide treaded water or took losses. </w:t>
      </w:r>
      <w:r w:rsidRPr="008E7C73">
        <w:rPr>
          <w:rFonts w:asciiTheme="majorHAnsi" w:hAnsiTheme="majorHAnsi"/>
          <w:sz w:val="24"/>
          <w:szCs w:val="24"/>
        </w:rPr>
        <w:t xml:space="preserve">The economy was doing well: the latest hiring and retail sales data was excellent, consumer confidence appeared strong, and industries were growing impressively. Inflation pressure was mounting, </w:t>
      </w:r>
      <w:r w:rsidRPr="008E7C73">
        <w:rPr>
          <w:rFonts w:asciiTheme="majorHAnsi" w:hAnsiTheme="majorHAnsi"/>
          <w:sz w:val="24"/>
          <w:szCs w:val="24"/>
        </w:rPr>
        <w:t xml:space="preserve">and unsurprisingly, the Federal Reserve responded with another interest rate hike. New home sales improved, but residential resales waned. </w:t>
      </w:r>
      <w:r w:rsidRPr="008E7C73">
        <w:rPr>
          <w:rFonts w:asciiTheme="majorHAnsi" w:hAnsiTheme="majorHAnsi"/>
          <w:sz w:val="24"/>
          <w:szCs w:val="24"/>
        </w:rPr>
        <w:t xml:space="preserve">Ongoing trade </w:t>
      </w:r>
      <w:r>
        <w:rPr>
          <w:rFonts w:asciiTheme="majorHAnsi" w:hAnsiTheme="majorHAnsi"/>
          <w:sz w:val="24"/>
          <w:szCs w:val="24"/>
        </w:rPr>
        <w:t>frictions</w:t>
      </w:r>
      <w:r w:rsidRPr="008E7C73">
        <w:rPr>
          <w:rFonts w:asciiTheme="majorHAnsi" w:hAnsiTheme="majorHAnsi"/>
          <w:sz w:val="24"/>
          <w:szCs w:val="24"/>
        </w:rPr>
        <w:t xml:space="preserve"> </w:t>
      </w:r>
      <w:r w:rsidRPr="008E7C73">
        <w:rPr>
          <w:rFonts w:asciiTheme="majorHAnsi" w:hAnsiTheme="majorHAnsi"/>
          <w:sz w:val="24"/>
          <w:szCs w:val="24"/>
        </w:rPr>
        <w:t>seemed to mute</w:t>
      </w:r>
      <w:r w:rsidRPr="008E7C73">
        <w:rPr>
          <w:rFonts w:asciiTheme="majorHAnsi" w:hAnsiTheme="majorHAnsi"/>
          <w:sz w:val="24"/>
          <w:szCs w:val="24"/>
        </w:rPr>
        <w:t xml:space="preserve"> much of the bullishness </w:t>
      </w:r>
      <w:r w:rsidRPr="008E7C73">
        <w:rPr>
          <w:rFonts w:asciiTheme="majorHAnsi" w:hAnsiTheme="majorHAnsi"/>
          <w:sz w:val="24"/>
          <w:szCs w:val="24"/>
        </w:rPr>
        <w:t>seen</w:t>
      </w:r>
      <w:r w:rsidRPr="008E7C73">
        <w:rPr>
          <w:rFonts w:asciiTheme="majorHAnsi" w:hAnsiTheme="majorHAnsi"/>
          <w:sz w:val="24"/>
          <w:szCs w:val="24"/>
        </w:rPr>
        <w:t xml:space="preserve"> early in the year.</w:t>
      </w:r>
      <w:r w:rsidRPr="008E7C73">
        <w:rPr>
          <w:rFonts w:asciiTheme="majorHAnsi" w:hAnsiTheme="majorHAnsi"/>
          <w:sz w:val="24"/>
          <w:szCs w:val="24"/>
          <w:vertAlign w:val="superscript"/>
        </w:rPr>
        <w:t>1</w:t>
      </w:r>
    </w:p>
    <w:p w:rsidR="00775662" w:rsidRDefault="001F5FE3" w:rsidP="00FA7533">
      <w:pPr>
        <w:spacing w:line="276" w:lineRule="auto"/>
        <w:rPr>
          <w:rFonts w:asciiTheme="majorHAnsi" w:hAnsiTheme="majorHAnsi"/>
          <w:sz w:val="24"/>
          <w:szCs w:val="24"/>
        </w:rPr>
      </w:pPr>
      <w:r>
        <w:rPr>
          <w:rFonts w:asciiTheme="majorHAnsi" w:hAnsiTheme="majorHAnsi"/>
          <w:sz w:val="24"/>
          <w:szCs w:val="24"/>
        </w:rPr>
        <w:t xml:space="preserve"> </w:t>
      </w:r>
    </w:p>
    <w:p w:rsidR="00775662" w:rsidRDefault="001F5FE3" w:rsidP="00FA7533">
      <w:pPr>
        <w:spacing w:line="276" w:lineRule="auto"/>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1148FC" w:rsidRDefault="001F5FE3" w:rsidP="00FA7533">
      <w:pPr>
        <w:spacing w:line="276" w:lineRule="auto"/>
        <w:rPr>
          <w:rFonts w:asciiTheme="majorHAnsi" w:hAnsiTheme="majorHAnsi"/>
          <w:sz w:val="24"/>
          <w:szCs w:val="24"/>
        </w:rPr>
      </w:pPr>
      <w:r>
        <w:rPr>
          <w:rFonts w:asciiTheme="majorHAnsi" w:hAnsiTheme="majorHAnsi"/>
          <w:sz w:val="24"/>
          <w:szCs w:val="24"/>
        </w:rPr>
        <w:t xml:space="preserve"> </w:t>
      </w:r>
    </w:p>
    <w:p w:rsidR="00775662" w:rsidRDefault="001F5FE3" w:rsidP="00FA7533">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775662" w:rsidRPr="007F72BB" w:rsidRDefault="001F5FE3" w:rsidP="00FA7533">
      <w:pPr>
        <w:spacing w:line="276" w:lineRule="auto"/>
        <w:jc w:val="both"/>
        <w:rPr>
          <w:rStyle w:val="st"/>
          <w:rFonts w:asciiTheme="majorHAnsi" w:hAnsiTheme="majorHAnsi"/>
          <w:sz w:val="24"/>
          <w:szCs w:val="24"/>
        </w:rPr>
      </w:pPr>
      <w:r w:rsidRPr="007F72BB">
        <w:rPr>
          <w:rStyle w:val="st"/>
          <w:rFonts w:asciiTheme="majorHAnsi" w:hAnsiTheme="majorHAnsi"/>
          <w:sz w:val="24"/>
          <w:szCs w:val="24"/>
        </w:rPr>
        <w:t>The Trump administration announced further tariffs in June.</w:t>
      </w:r>
      <w:r w:rsidRPr="007F72BB">
        <w:rPr>
          <w:rStyle w:val="st"/>
          <w:rFonts w:asciiTheme="majorHAnsi" w:hAnsiTheme="majorHAnsi"/>
          <w:sz w:val="24"/>
          <w:szCs w:val="24"/>
        </w:rPr>
        <w:t xml:space="preserve"> </w:t>
      </w:r>
      <w:r w:rsidRPr="007F72BB">
        <w:rPr>
          <w:rStyle w:val="st"/>
          <w:rFonts w:asciiTheme="majorHAnsi" w:hAnsiTheme="majorHAnsi"/>
          <w:sz w:val="24"/>
          <w:szCs w:val="24"/>
        </w:rPr>
        <w:t>N</w:t>
      </w:r>
      <w:r w:rsidRPr="007F72BB">
        <w:rPr>
          <w:rStyle w:val="st"/>
          <w:rFonts w:asciiTheme="majorHAnsi" w:hAnsiTheme="majorHAnsi"/>
          <w:sz w:val="24"/>
          <w:szCs w:val="24"/>
        </w:rPr>
        <w:t xml:space="preserve">ew </w:t>
      </w:r>
      <w:r w:rsidRPr="007F72BB">
        <w:rPr>
          <w:rStyle w:val="st"/>
          <w:rFonts w:asciiTheme="majorHAnsi" w:hAnsiTheme="majorHAnsi"/>
          <w:sz w:val="24"/>
          <w:szCs w:val="24"/>
        </w:rPr>
        <w:t>import duties aimed at China are scheduled</w:t>
      </w:r>
      <w:r w:rsidRPr="007F72BB">
        <w:rPr>
          <w:rStyle w:val="st"/>
          <w:rFonts w:asciiTheme="majorHAnsi" w:hAnsiTheme="majorHAnsi"/>
          <w:sz w:val="24"/>
          <w:szCs w:val="24"/>
        </w:rPr>
        <w:t xml:space="preserve"> </w:t>
      </w:r>
      <w:r w:rsidRPr="007F72BB">
        <w:rPr>
          <w:rStyle w:val="st"/>
          <w:rFonts w:asciiTheme="majorHAnsi" w:hAnsiTheme="majorHAnsi"/>
          <w:sz w:val="24"/>
          <w:szCs w:val="24"/>
        </w:rPr>
        <w:t xml:space="preserve">for a July 6 launch: $34 billion in Chinese goods are supposed to be hit with 25% tariffs beginning on that date, with another $16 billion in Chinese imports potentially susceptible to these </w:t>
      </w:r>
      <w:r w:rsidRPr="007F72BB">
        <w:rPr>
          <w:rStyle w:val="st"/>
          <w:rFonts w:asciiTheme="majorHAnsi" w:hAnsiTheme="majorHAnsi"/>
          <w:sz w:val="24"/>
          <w:szCs w:val="24"/>
        </w:rPr>
        <w:t>lev</w:t>
      </w:r>
      <w:r w:rsidRPr="007F72BB">
        <w:rPr>
          <w:rStyle w:val="st"/>
          <w:rFonts w:asciiTheme="majorHAnsi" w:hAnsiTheme="majorHAnsi"/>
          <w:sz w:val="24"/>
          <w:szCs w:val="24"/>
        </w:rPr>
        <w:t>ies</w:t>
      </w:r>
      <w:r w:rsidRPr="007F72BB">
        <w:rPr>
          <w:rStyle w:val="st"/>
          <w:rFonts w:asciiTheme="majorHAnsi" w:hAnsiTheme="majorHAnsi"/>
          <w:sz w:val="24"/>
          <w:szCs w:val="24"/>
        </w:rPr>
        <w:t xml:space="preserve"> in the future.</w:t>
      </w:r>
      <w:r w:rsidRPr="007F72BB">
        <w:rPr>
          <w:rStyle w:val="st"/>
          <w:rFonts w:asciiTheme="majorHAnsi" w:hAnsiTheme="majorHAnsi"/>
          <w:sz w:val="24"/>
          <w:szCs w:val="24"/>
        </w:rPr>
        <w:t xml:space="preserve"> </w:t>
      </w:r>
      <w:r w:rsidRPr="007F72BB">
        <w:rPr>
          <w:rStyle w:val="st"/>
          <w:rFonts w:asciiTheme="majorHAnsi" w:hAnsiTheme="majorHAnsi"/>
          <w:sz w:val="24"/>
          <w:szCs w:val="24"/>
        </w:rPr>
        <w:t>In addition, the U.S. may impose a 10% tari</w:t>
      </w:r>
      <w:r w:rsidRPr="007F72BB">
        <w:rPr>
          <w:rStyle w:val="st"/>
          <w:rFonts w:asciiTheme="majorHAnsi" w:hAnsiTheme="majorHAnsi"/>
          <w:sz w:val="24"/>
          <w:szCs w:val="24"/>
        </w:rPr>
        <w:t>ff on another $200 billion of Chinese products. A 20% tariff on autos coming from the</w:t>
      </w:r>
      <w:r w:rsidRPr="007F72BB">
        <w:rPr>
          <w:rStyle w:val="st"/>
          <w:rFonts w:asciiTheme="majorHAnsi" w:hAnsiTheme="majorHAnsi"/>
          <w:sz w:val="24"/>
          <w:szCs w:val="24"/>
        </w:rPr>
        <w:t xml:space="preserve"> E</w:t>
      </w:r>
      <w:r w:rsidRPr="007F72BB">
        <w:rPr>
          <w:rStyle w:val="st"/>
          <w:rFonts w:asciiTheme="majorHAnsi" w:hAnsiTheme="majorHAnsi"/>
          <w:sz w:val="24"/>
          <w:szCs w:val="24"/>
        </w:rPr>
        <w:t xml:space="preserve">uropean </w:t>
      </w:r>
      <w:r w:rsidRPr="007F72BB">
        <w:rPr>
          <w:rStyle w:val="st"/>
          <w:rFonts w:asciiTheme="majorHAnsi" w:hAnsiTheme="majorHAnsi"/>
          <w:sz w:val="24"/>
          <w:szCs w:val="24"/>
        </w:rPr>
        <w:t>U</w:t>
      </w:r>
      <w:r w:rsidRPr="007F72BB">
        <w:rPr>
          <w:rStyle w:val="st"/>
          <w:rFonts w:asciiTheme="majorHAnsi" w:hAnsiTheme="majorHAnsi"/>
          <w:sz w:val="24"/>
          <w:szCs w:val="24"/>
        </w:rPr>
        <w:t>nion is also planned</w:t>
      </w:r>
      <w:r w:rsidRPr="007F72BB">
        <w:rPr>
          <w:rStyle w:val="st"/>
          <w:rFonts w:asciiTheme="majorHAnsi" w:hAnsiTheme="majorHAnsi"/>
          <w:sz w:val="24"/>
          <w:szCs w:val="24"/>
        </w:rPr>
        <w:t>.</w:t>
      </w:r>
      <w:r w:rsidRPr="007F72BB">
        <w:rPr>
          <w:rStyle w:val="st"/>
          <w:rFonts w:asciiTheme="majorHAnsi" w:hAnsiTheme="majorHAnsi"/>
          <w:sz w:val="24"/>
          <w:szCs w:val="24"/>
        </w:rPr>
        <w:t xml:space="preserve"> The E.U. and China have retaliatory measures to these moves in the works (see “Global Economic Health” below).</w:t>
      </w:r>
      <w:r w:rsidRPr="007F72BB">
        <w:rPr>
          <w:rStyle w:val="st"/>
          <w:rFonts w:asciiTheme="majorHAnsi" w:hAnsiTheme="majorHAnsi"/>
          <w:sz w:val="24"/>
          <w:szCs w:val="24"/>
          <w:vertAlign w:val="superscript"/>
        </w:rPr>
        <w:t>2</w:t>
      </w:r>
    </w:p>
    <w:p w:rsidR="007F72BB" w:rsidRPr="00222E44" w:rsidRDefault="001F5FE3" w:rsidP="00FA7533">
      <w:pPr>
        <w:spacing w:line="276" w:lineRule="auto"/>
        <w:jc w:val="both"/>
        <w:rPr>
          <w:rStyle w:val="st"/>
          <w:rFonts w:asciiTheme="majorHAnsi" w:hAnsiTheme="majorHAnsi"/>
          <w:sz w:val="24"/>
          <w:szCs w:val="24"/>
        </w:rPr>
      </w:pPr>
      <w:r>
        <w:rPr>
          <w:rStyle w:val="st"/>
          <w:rFonts w:asciiTheme="majorHAnsi" w:hAnsiTheme="majorHAnsi"/>
          <w:sz w:val="24"/>
          <w:szCs w:val="24"/>
        </w:rPr>
        <w:lastRenderedPageBreak/>
        <w:t>Away from tariffs and thei</w:t>
      </w:r>
      <w:r>
        <w:rPr>
          <w:rStyle w:val="st"/>
          <w:rFonts w:asciiTheme="majorHAnsi" w:hAnsiTheme="majorHAnsi"/>
          <w:sz w:val="24"/>
          <w:szCs w:val="24"/>
        </w:rPr>
        <w:t>r implications</w:t>
      </w:r>
      <w:r w:rsidRPr="00222E44">
        <w:rPr>
          <w:rStyle w:val="st"/>
          <w:rFonts w:asciiTheme="majorHAnsi" w:hAnsiTheme="majorHAnsi"/>
          <w:sz w:val="24"/>
          <w:szCs w:val="24"/>
        </w:rPr>
        <w:t xml:space="preserve">, investors absorbed some excellent reports on the U.S. economy. The Department of Labor’s May </w:t>
      </w:r>
      <w:r w:rsidRPr="00222E44">
        <w:rPr>
          <w:rStyle w:val="st"/>
          <w:rFonts w:asciiTheme="majorHAnsi" w:hAnsiTheme="majorHAnsi"/>
          <w:sz w:val="24"/>
          <w:szCs w:val="24"/>
        </w:rPr>
        <w:t>jobs report</w:t>
      </w:r>
      <w:r w:rsidRPr="00222E44">
        <w:rPr>
          <w:rStyle w:val="st"/>
          <w:rFonts w:asciiTheme="majorHAnsi" w:hAnsiTheme="majorHAnsi"/>
          <w:sz w:val="24"/>
          <w:szCs w:val="24"/>
        </w:rPr>
        <w:t xml:space="preserve"> showed a net hiring gain of 223,000</w:t>
      </w:r>
      <w:r w:rsidRPr="00222E44">
        <w:rPr>
          <w:rStyle w:val="st"/>
          <w:rFonts w:asciiTheme="majorHAnsi" w:hAnsiTheme="majorHAnsi"/>
          <w:sz w:val="24"/>
          <w:szCs w:val="24"/>
        </w:rPr>
        <w:t xml:space="preserve"> and wages up 0.3% for the month (better than the 0.1% rise in April). The headline unemployment rat</w:t>
      </w:r>
      <w:r w:rsidRPr="00222E44">
        <w:rPr>
          <w:rStyle w:val="st"/>
          <w:rFonts w:asciiTheme="majorHAnsi" w:hAnsiTheme="majorHAnsi"/>
          <w:sz w:val="24"/>
          <w:szCs w:val="24"/>
        </w:rPr>
        <w:t>e declined 0.1% to just 3.8%, and the U-6 jobless rate</w:t>
      </w:r>
      <w:r>
        <w:rPr>
          <w:rStyle w:val="st"/>
          <w:rFonts w:asciiTheme="majorHAnsi" w:hAnsiTheme="majorHAnsi"/>
          <w:sz w:val="24"/>
          <w:szCs w:val="24"/>
        </w:rPr>
        <w:t>,</w:t>
      </w:r>
      <w:r w:rsidRPr="00222E44">
        <w:rPr>
          <w:rStyle w:val="st"/>
          <w:rFonts w:asciiTheme="majorHAnsi" w:hAnsiTheme="majorHAnsi"/>
          <w:sz w:val="24"/>
          <w:szCs w:val="24"/>
        </w:rPr>
        <w:t xml:space="preserve"> including the underemployed</w:t>
      </w:r>
      <w:r>
        <w:rPr>
          <w:rStyle w:val="st"/>
          <w:rFonts w:asciiTheme="majorHAnsi" w:hAnsiTheme="majorHAnsi"/>
          <w:sz w:val="24"/>
          <w:szCs w:val="24"/>
        </w:rPr>
        <w:t>,</w:t>
      </w:r>
      <w:r w:rsidRPr="00222E44">
        <w:rPr>
          <w:rStyle w:val="st"/>
          <w:rFonts w:asciiTheme="majorHAnsi" w:hAnsiTheme="majorHAnsi"/>
          <w:sz w:val="24"/>
          <w:szCs w:val="24"/>
        </w:rPr>
        <w:t xml:space="preserve"> fell from 7.8% to 7.6%. Retail sales improved a striking 0.8% in May, and the gain </w:t>
      </w:r>
      <w:r>
        <w:rPr>
          <w:rStyle w:val="st"/>
          <w:rFonts w:asciiTheme="majorHAnsi" w:hAnsiTheme="majorHAnsi"/>
          <w:sz w:val="24"/>
          <w:szCs w:val="24"/>
        </w:rPr>
        <w:t>held</w:t>
      </w:r>
      <w:r w:rsidRPr="00222E44">
        <w:rPr>
          <w:rStyle w:val="st"/>
          <w:rFonts w:asciiTheme="majorHAnsi" w:hAnsiTheme="majorHAnsi"/>
          <w:sz w:val="24"/>
          <w:szCs w:val="24"/>
        </w:rPr>
        <w:t xml:space="preserve"> </w:t>
      </w:r>
      <w:r>
        <w:rPr>
          <w:rStyle w:val="st"/>
          <w:rFonts w:asciiTheme="majorHAnsi" w:hAnsiTheme="majorHAnsi"/>
          <w:sz w:val="24"/>
          <w:szCs w:val="24"/>
        </w:rPr>
        <w:t xml:space="preserve">even </w:t>
      </w:r>
      <w:r w:rsidRPr="00222E44">
        <w:rPr>
          <w:rStyle w:val="st"/>
          <w:rFonts w:asciiTheme="majorHAnsi" w:hAnsiTheme="majorHAnsi"/>
          <w:sz w:val="24"/>
          <w:szCs w:val="24"/>
        </w:rPr>
        <w:t xml:space="preserve">without </w:t>
      </w:r>
      <w:r>
        <w:rPr>
          <w:rStyle w:val="st"/>
          <w:rFonts w:asciiTheme="majorHAnsi" w:hAnsiTheme="majorHAnsi"/>
          <w:sz w:val="24"/>
          <w:szCs w:val="24"/>
        </w:rPr>
        <w:t xml:space="preserve">the </w:t>
      </w:r>
      <w:r w:rsidRPr="00222E44">
        <w:rPr>
          <w:rStyle w:val="st"/>
          <w:rFonts w:asciiTheme="majorHAnsi" w:hAnsiTheme="majorHAnsi"/>
          <w:sz w:val="24"/>
          <w:szCs w:val="24"/>
        </w:rPr>
        <w:t>inclu</w:t>
      </w:r>
      <w:r>
        <w:rPr>
          <w:rStyle w:val="st"/>
          <w:rFonts w:asciiTheme="majorHAnsi" w:hAnsiTheme="majorHAnsi"/>
          <w:sz w:val="24"/>
          <w:szCs w:val="24"/>
        </w:rPr>
        <w:t>sion of</w:t>
      </w:r>
      <w:r w:rsidRPr="00222E44">
        <w:rPr>
          <w:rStyle w:val="st"/>
          <w:rFonts w:asciiTheme="majorHAnsi" w:hAnsiTheme="majorHAnsi"/>
          <w:sz w:val="24"/>
          <w:szCs w:val="24"/>
        </w:rPr>
        <w:t xml:space="preserve"> gasoline and automotive purchases.</w:t>
      </w:r>
      <w:r w:rsidRPr="00222E44">
        <w:rPr>
          <w:rStyle w:val="st"/>
          <w:rFonts w:asciiTheme="majorHAnsi" w:hAnsiTheme="majorHAnsi"/>
          <w:sz w:val="24"/>
          <w:szCs w:val="24"/>
          <w:vertAlign w:val="superscript"/>
        </w:rPr>
        <w:t>3</w:t>
      </w:r>
    </w:p>
    <w:p w:rsidR="0026169D" w:rsidRPr="00B3258C" w:rsidRDefault="001F5FE3" w:rsidP="00FA7533">
      <w:pPr>
        <w:spacing w:line="276" w:lineRule="auto"/>
        <w:jc w:val="both"/>
        <w:rPr>
          <w:rStyle w:val="st"/>
          <w:rFonts w:asciiTheme="majorHAnsi" w:hAnsiTheme="majorHAnsi"/>
          <w:sz w:val="24"/>
          <w:szCs w:val="24"/>
        </w:rPr>
      </w:pPr>
      <w:r w:rsidRPr="00222E44">
        <w:rPr>
          <w:rStyle w:val="st"/>
          <w:rFonts w:asciiTheme="majorHAnsi" w:hAnsiTheme="majorHAnsi"/>
          <w:sz w:val="24"/>
          <w:szCs w:val="24"/>
        </w:rPr>
        <w:t xml:space="preserve">Major consumer </w:t>
      </w:r>
      <w:r w:rsidRPr="00222E44">
        <w:rPr>
          <w:rStyle w:val="st"/>
          <w:rFonts w:asciiTheme="majorHAnsi" w:hAnsiTheme="majorHAnsi"/>
          <w:sz w:val="24"/>
          <w:szCs w:val="24"/>
        </w:rPr>
        <w:t xml:space="preserve">confidence indices remained elevated. The University of Michigan’s </w:t>
      </w:r>
      <w:r w:rsidRPr="00B3258C">
        <w:rPr>
          <w:rStyle w:val="st"/>
          <w:rFonts w:asciiTheme="majorHAnsi" w:hAnsiTheme="majorHAnsi"/>
          <w:sz w:val="24"/>
          <w:szCs w:val="24"/>
        </w:rPr>
        <w:t>barometer of household sentiment, which had finished May at 98.0, ended June at 98.2. As for the Conference Board’s gauge, it fell 2.4 points to 126.4.</w:t>
      </w:r>
      <w:r w:rsidRPr="00B3258C">
        <w:rPr>
          <w:rStyle w:val="st"/>
          <w:rFonts w:asciiTheme="majorHAnsi" w:hAnsiTheme="majorHAnsi"/>
          <w:sz w:val="24"/>
          <w:szCs w:val="24"/>
          <w:vertAlign w:val="superscript"/>
        </w:rPr>
        <w:t>3,4</w:t>
      </w:r>
    </w:p>
    <w:p w:rsidR="00775662" w:rsidRPr="00B75D36" w:rsidRDefault="001F5FE3" w:rsidP="00FA7533">
      <w:pPr>
        <w:spacing w:line="276" w:lineRule="auto"/>
        <w:jc w:val="both"/>
        <w:rPr>
          <w:rStyle w:val="st"/>
          <w:rFonts w:asciiTheme="majorHAnsi" w:hAnsiTheme="majorHAnsi"/>
          <w:sz w:val="24"/>
          <w:szCs w:val="24"/>
        </w:rPr>
      </w:pPr>
      <w:r w:rsidRPr="00B3258C">
        <w:rPr>
          <w:rStyle w:val="st"/>
          <w:rFonts w:asciiTheme="majorHAnsi" w:hAnsiTheme="majorHAnsi"/>
          <w:sz w:val="24"/>
          <w:szCs w:val="24"/>
        </w:rPr>
        <w:t>Although</w:t>
      </w:r>
      <w:r w:rsidRPr="00B3258C">
        <w:rPr>
          <w:rStyle w:val="st"/>
          <w:rFonts w:asciiTheme="majorHAnsi" w:hAnsiTheme="majorHAnsi"/>
          <w:sz w:val="24"/>
          <w:szCs w:val="24"/>
        </w:rPr>
        <w:t xml:space="preserve"> durable goods</w:t>
      </w:r>
      <w:r w:rsidRPr="00B3258C">
        <w:rPr>
          <w:rStyle w:val="st"/>
          <w:rFonts w:asciiTheme="majorHAnsi" w:hAnsiTheme="majorHAnsi"/>
          <w:sz w:val="24"/>
          <w:szCs w:val="24"/>
        </w:rPr>
        <w:t xml:space="preserve"> orders were</w:t>
      </w:r>
      <w:r w:rsidRPr="00B3258C">
        <w:rPr>
          <w:rStyle w:val="st"/>
          <w:rFonts w:asciiTheme="majorHAnsi" w:hAnsiTheme="majorHAnsi"/>
          <w:sz w:val="24"/>
          <w:szCs w:val="24"/>
        </w:rPr>
        <w:t xml:space="preserve"> down 0.6% for May (after a 1.0% April fall), </w:t>
      </w:r>
      <w:r w:rsidRPr="00B3258C">
        <w:rPr>
          <w:rStyle w:val="st"/>
          <w:rFonts w:asciiTheme="majorHAnsi" w:hAnsiTheme="majorHAnsi"/>
          <w:sz w:val="24"/>
          <w:szCs w:val="24"/>
        </w:rPr>
        <w:t>the latest purchasing manager index readings at the Institute for Supply Management were still well above the all-important 50 level</w:t>
      </w:r>
      <w:r>
        <w:rPr>
          <w:rStyle w:val="st"/>
          <w:rFonts w:asciiTheme="majorHAnsi" w:hAnsiTheme="majorHAnsi"/>
          <w:sz w:val="24"/>
          <w:szCs w:val="24"/>
        </w:rPr>
        <w:t>,</w:t>
      </w:r>
      <w:r w:rsidRPr="00B3258C">
        <w:rPr>
          <w:rStyle w:val="st"/>
          <w:rFonts w:asciiTheme="majorHAnsi" w:hAnsiTheme="majorHAnsi"/>
          <w:sz w:val="24"/>
          <w:szCs w:val="24"/>
        </w:rPr>
        <w:t xml:space="preserve"> </w:t>
      </w:r>
      <w:r w:rsidRPr="00B75D36">
        <w:rPr>
          <w:rStyle w:val="st"/>
          <w:rFonts w:asciiTheme="majorHAnsi" w:hAnsiTheme="majorHAnsi"/>
          <w:sz w:val="24"/>
          <w:szCs w:val="24"/>
        </w:rPr>
        <w:t xml:space="preserve">delineating industry expansion from industry contraction. ISM’s factory PMI </w:t>
      </w:r>
      <w:r w:rsidRPr="00B75D36">
        <w:rPr>
          <w:rStyle w:val="st"/>
          <w:rFonts w:asciiTheme="majorHAnsi" w:hAnsiTheme="majorHAnsi"/>
          <w:sz w:val="24"/>
          <w:szCs w:val="24"/>
        </w:rPr>
        <w:t>rose 1.4 points to 58.7, while its service sector PMI added 1.8 points to reach 58.6.</w:t>
      </w:r>
      <w:r w:rsidRPr="00B75D36">
        <w:rPr>
          <w:rStyle w:val="st"/>
          <w:rFonts w:asciiTheme="majorHAnsi" w:hAnsiTheme="majorHAnsi"/>
          <w:sz w:val="24"/>
          <w:szCs w:val="24"/>
          <w:vertAlign w:val="superscript"/>
        </w:rPr>
        <w:t>3,4</w:t>
      </w:r>
    </w:p>
    <w:p w:rsidR="00775662" w:rsidRPr="00FE3C33" w:rsidRDefault="001F5FE3" w:rsidP="00FA7533">
      <w:pPr>
        <w:spacing w:line="276" w:lineRule="auto"/>
        <w:jc w:val="both"/>
        <w:rPr>
          <w:rStyle w:val="st"/>
          <w:rFonts w:asciiTheme="majorHAnsi" w:hAnsiTheme="majorHAnsi"/>
          <w:sz w:val="24"/>
          <w:szCs w:val="24"/>
        </w:rPr>
      </w:pPr>
      <w:r w:rsidRPr="00B75D36">
        <w:rPr>
          <w:rStyle w:val="st"/>
          <w:rFonts w:asciiTheme="majorHAnsi" w:hAnsiTheme="majorHAnsi"/>
          <w:sz w:val="24"/>
          <w:szCs w:val="24"/>
        </w:rPr>
        <w:t>May’s Consumer Price Index arrived, and it showed</w:t>
      </w:r>
      <w:r w:rsidRPr="00B75D36">
        <w:rPr>
          <w:rStyle w:val="st"/>
          <w:rFonts w:asciiTheme="majorHAnsi" w:hAnsiTheme="majorHAnsi"/>
          <w:sz w:val="24"/>
          <w:szCs w:val="24"/>
        </w:rPr>
        <w:t xml:space="preserve"> yearly</w:t>
      </w:r>
      <w:r w:rsidRPr="00B75D36">
        <w:rPr>
          <w:rStyle w:val="st"/>
          <w:rFonts w:asciiTheme="majorHAnsi" w:hAnsiTheme="majorHAnsi"/>
          <w:sz w:val="24"/>
          <w:szCs w:val="24"/>
        </w:rPr>
        <w:t xml:space="preserve"> headline i</w:t>
      </w:r>
      <w:r w:rsidRPr="00B75D36">
        <w:rPr>
          <w:rStyle w:val="st"/>
          <w:rFonts w:asciiTheme="majorHAnsi" w:hAnsiTheme="majorHAnsi"/>
          <w:sz w:val="24"/>
          <w:szCs w:val="24"/>
        </w:rPr>
        <w:t>nflation</w:t>
      </w:r>
      <w:r w:rsidRPr="00B75D36">
        <w:rPr>
          <w:rStyle w:val="st"/>
          <w:rFonts w:asciiTheme="majorHAnsi" w:hAnsiTheme="majorHAnsi"/>
          <w:sz w:val="24"/>
          <w:szCs w:val="24"/>
        </w:rPr>
        <w:t xml:space="preserve"> at 2.8%</w:t>
      </w:r>
      <w:r w:rsidRPr="00B75D36">
        <w:rPr>
          <w:rStyle w:val="st"/>
          <w:rFonts w:asciiTheme="majorHAnsi" w:hAnsiTheme="majorHAnsi"/>
          <w:sz w:val="24"/>
          <w:szCs w:val="24"/>
        </w:rPr>
        <w:t xml:space="preserve"> and yearly core inflation (minus food and energy costs) at 2.2%</w:t>
      </w:r>
      <w:r w:rsidRPr="00B75D36">
        <w:rPr>
          <w:rStyle w:val="st"/>
          <w:rFonts w:asciiTheme="majorHAnsi" w:hAnsiTheme="majorHAnsi"/>
          <w:sz w:val="24"/>
          <w:szCs w:val="24"/>
        </w:rPr>
        <w:t>.</w:t>
      </w:r>
      <w:r w:rsidRPr="00B75D36">
        <w:rPr>
          <w:rStyle w:val="st"/>
          <w:rFonts w:asciiTheme="majorHAnsi" w:hAnsiTheme="majorHAnsi"/>
          <w:sz w:val="24"/>
          <w:szCs w:val="24"/>
        </w:rPr>
        <w:t xml:space="preserve"> (Both the headline and core CPI were up 0.2% for the month.) The Federal Reserve’s preferred inflation </w:t>
      </w:r>
      <w:r w:rsidRPr="00FE3C33">
        <w:rPr>
          <w:rStyle w:val="st"/>
          <w:rFonts w:asciiTheme="majorHAnsi" w:hAnsiTheme="majorHAnsi"/>
          <w:sz w:val="24"/>
          <w:szCs w:val="24"/>
        </w:rPr>
        <w:t xml:space="preserve">barometer, the core PCE price index, </w:t>
      </w:r>
      <w:r w:rsidRPr="00FE3C33">
        <w:rPr>
          <w:rStyle w:val="st"/>
          <w:rFonts w:asciiTheme="majorHAnsi" w:hAnsiTheme="majorHAnsi"/>
          <w:sz w:val="24"/>
          <w:szCs w:val="24"/>
        </w:rPr>
        <w:t>displayed 2.0% a yearly rise through May. That marked the first time it had met the central bank’s longstanding inf</w:t>
      </w:r>
      <w:r w:rsidRPr="00FE3C33">
        <w:rPr>
          <w:rStyle w:val="st"/>
          <w:rFonts w:asciiTheme="majorHAnsi" w:hAnsiTheme="majorHAnsi"/>
          <w:sz w:val="24"/>
          <w:szCs w:val="24"/>
        </w:rPr>
        <w:t xml:space="preserve">lation target since April 2012. </w:t>
      </w:r>
      <w:r w:rsidRPr="00FE3C33">
        <w:rPr>
          <w:rStyle w:val="st"/>
          <w:rFonts w:asciiTheme="majorHAnsi" w:hAnsiTheme="majorHAnsi"/>
          <w:sz w:val="24"/>
          <w:szCs w:val="24"/>
        </w:rPr>
        <w:t>Annualized wholesale inflation, as measured by the Producer Price Index, surged to 3.1% in May from 2.6% in April.</w:t>
      </w:r>
      <w:r w:rsidRPr="00FE3C33">
        <w:rPr>
          <w:rStyle w:val="st"/>
          <w:rFonts w:asciiTheme="majorHAnsi" w:hAnsiTheme="majorHAnsi"/>
          <w:sz w:val="24"/>
          <w:szCs w:val="24"/>
          <w:vertAlign w:val="superscript"/>
        </w:rPr>
        <w:t>3</w:t>
      </w:r>
      <w:r w:rsidRPr="00FE3C33">
        <w:rPr>
          <w:rStyle w:val="st"/>
          <w:rFonts w:asciiTheme="majorHAnsi" w:hAnsiTheme="majorHAnsi"/>
          <w:sz w:val="24"/>
          <w:szCs w:val="24"/>
          <w:vertAlign w:val="superscript"/>
        </w:rPr>
        <w:t>,5</w:t>
      </w:r>
    </w:p>
    <w:p w:rsidR="0026169D" w:rsidRPr="00AA610F" w:rsidRDefault="001F5FE3" w:rsidP="0026169D">
      <w:pPr>
        <w:spacing w:line="276" w:lineRule="auto"/>
        <w:jc w:val="both"/>
        <w:rPr>
          <w:rStyle w:val="st"/>
          <w:rFonts w:asciiTheme="majorHAnsi" w:hAnsiTheme="majorHAnsi"/>
          <w:sz w:val="24"/>
          <w:szCs w:val="24"/>
        </w:rPr>
      </w:pPr>
      <w:r w:rsidRPr="00FE3C33">
        <w:rPr>
          <w:rStyle w:val="st"/>
          <w:rFonts w:asciiTheme="majorHAnsi" w:hAnsiTheme="majorHAnsi"/>
          <w:sz w:val="24"/>
          <w:szCs w:val="24"/>
        </w:rPr>
        <w:t>Investors widely assumed the Fed would make another quarter-point rate adjustment in June. Th</w:t>
      </w:r>
      <w:r>
        <w:rPr>
          <w:rStyle w:val="st"/>
          <w:rFonts w:asciiTheme="majorHAnsi" w:hAnsiTheme="majorHAnsi"/>
          <w:sz w:val="24"/>
          <w:szCs w:val="24"/>
        </w:rPr>
        <w:t>ose</w:t>
      </w:r>
      <w:r w:rsidRPr="00FE3C33">
        <w:rPr>
          <w:rStyle w:val="st"/>
          <w:rFonts w:asciiTheme="majorHAnsi" w:hAnsiTheme="majorHAnsi"/>
          <w:sz w:val="24"/>
          <w:szCs w:val="24"/>
        </w:rPr>
        <w:t xml:space="preserve"> expectati</w:t>
      </w:r>
      <w:r w:rsidRPr="00FE3C33">
        <w:rPr>
          <w:rStyle w:val="st"/>
          <w:rFonts w:asciiTheme="majorHAnsi" w:hAnsiTheme="majorHAnsi"/>
          <w:sz w:val="24"/>
          <w:szCs w:val="24"/>
        </w:rPr>
        <w:t>ons were met. On June 13, the Federal Open Market Committee vote</w:t>
      </w:r>
      <w:r>
        <w:rPr>
          <w:rStyle w:val="st"/>
          <w:rFonts w:asciiTheme="majorHAnsi" w:hAnsiTheme="majorHAnsi"/>
          <w:sz w:val="24"/>
          <w:szCs w:val="24"/>
        </w:rPr>
        <w:t>d t</w:t>
      </w:r>
      <w:r w:rsidRPr="00FE3C33">
        <w:rPr>
          <w:rStyle w:val="st"/>
          <w:rFonts w:asciiTheme="majorHAnsi" w:hAnsiTheme="majorHAnsi"/>
          <w:sz w:val="24"/>
          <w:szCs w:val="24"/>
        </w:rPr>
        <w:t xml:space="preserve">o lift the target range on the </w:t>
      </w:r>
      <w:r w:rsidRPr="00AA610F">
        <w:rPr>
          <w:rStyle w:val="st"/>
          <w:rFonts w:asciiTheme="majorHAnsi" w:hAnsiTheme="majorHAnsi"/>
          <w:sz w:val="24"/>
          <w:szCs w:val="24"/>
        </w:rPr>
        <w:t xml:space="preserve">federal funds rate to 1.75%-2.00%, and </w:t>
      </w:r>
      <w:r w:rsidRPr="00AA610F">
        <w:rPr>
          <w:rStyle w:val="st"/>
          <w:rFonts w:asciiTheme="majorHAnsi" w:hAnsiTheme="majorHAnsi"/>
          <w:sz w:val="24"/>
          <w:szCs w:val="24"/>
        </w:rPr>
        <w:t xml:space="preserve">it also </w:t>
      </w:r>
      <w:r w:rsidRPr="00AA610F">
        <w:rPr>
          <w:rStyle w:val="st"/>
          <w:rFonts w:asciiTheme="majorHAnsi" w:hAnsiTheme="majorHAnsi"/>
          <w:sz w:val="24"/>
          <w:szCs w:val="24"/>
        </w:rPr>
        <w:t xml:space="preserve">put out a new dot-plot </w:t>
      </w:r>
      <w:r w:rsidRPr="00AA610F">
        <w:rPr>
          <w:rStyle w:val="st"/>
          <w:rFonts w:asciiTheme="majorHAnsi" w:hAnsiTheme="majorHAnsi"/>
          <w:sz w:val="24"/>
          <w:szCs w:val="24"/>
        </w:rPr>
        <w:t>projecting</w:t>
      </w:r>
      <w:r w:rsidRPr="00AA610F">
        <w:rPr>
          <w:rStyle w:val="st"/>
          <w:rFonts w:asciiTheme="majorHAnsi" w:hAnsiTheme="majorHAnsi"/>
          <w:sz w:val="24"/>
          <w:szCs w:val="24"/>
        </w:rPr>
        <w:t xml:space="preserve"> four</w:t>
      </w:r>
      <w:r w:rsidRPr="00AA610F">
        <w:rPr>
          <w:rStyle w:val="st"/>
          <w:rFonts w:asciiTheme="majorHAnsi" w:hAnsiTheme="majorHAnsi"/>
          <w:sz w:val="24"/>
          <w:szCs w:val="24"/>
        </w:rPr>
        <w:t xml:space="preserve"> rate hike</w:t>
      </w:r>
      <w:r w:rsidRPr="00AA610F">
        <w:rPr>
          <w:rStyle w:val="st"/>
          <w:rFonts w:asciiTheme="majorHAnsi" w:hAnsiTheme="majorHAnsi"/>
          <w:sz w:val="24"/>
          <w:szCs w:val="24"/>
        </w:rPr>
        <w:t>s</w:t>
      </w:r>
      <w:r w:rsidRPr="00AA610F">
        <w:rPr>
          <w:rStyle w:val="st"/>
          <w:rFonts w:asciiTheme="majorHAnsi" w:hAnsiTheme="majorHAnsi"/>
          <w:sz w:val="24"/>
          <w:szCs w:val="24"/>
        </w:rPr>
        <w:t xml:space="preserve"> </w:t>
      </w:r>
      <w:r w:rsidRPr="00AA610F">
        <w:rPr>
          <w:rStyle w:val="st"/>
          <w:rFonts w:asciiTheme="majorHAnsi" w:hAnsiTheme="majorHAnsi"/>
          <w:sz w:val="24"/>
          <w:szCs w:val="24"/>
        </w:rPr>
        <w:t>in</w:t>
      </w:r>
      <w:r w:rsidRPr="00AA610F">
        <w:rPr>
          <w:rStyle w:val="st"/>
          <w:rFonts w:asciiTheme="majorHAnsi" w:hAnsiTheme="majorHAnsi"/>
          <w:sz w:val="24"/>
          <w:szCs w:val="24"/>
        </w:rPr>
        <w:t xml:space="preserve"> 2018.</w:t>
      </w:r>
      <w:r w:rsidRPr="00AA610F">
        <w:rPr>
          <w:rStyle w:val="st"/>
          <w:rFonts w:asciiTheme="majorHAnsi" w:hAnsiTheme="majorHAnsi"/>
          <w:sz w:val="24"/>
          <w:szCs w:val="24"/>
        </w:rPr>
        <w:t xml:space="preserve"> </w:t>
      </w:r>
      <w:r w:rsidRPr="00AA610F">
        <w:rPr>
          <w:rStyle w:val="st"/>
          <w:rFonts w:asciiTheme="majorHAnsi" w:hAnsiTheme="majorHAnsi"/>
          <w:sz w:val="24"/>
          <w:szCs w:val="24"/>
        </w:rPr>
        <w:t>(</w:t>
      </w:r>
      <w:r w:rsidRPr="00AA610F">
        <w:rPr>
          <w:rStyle w:val="st"/>
          <w:rFonts w:asciiTheme="majorHAnsi" w:hAnsiTheme="majorHAnsi"/>
          <w:sz w:val="24"/>
          <w:szCs w:val="24"/>
        </w:rPr>
        <w:t>It forecast 2.8% GDP</w:t>
      </w:r>
      <w:r w:rsidRPr="00AA610F">
        <w:rPr>
          <w:rStyle w:val="st"/>
          <w:rFonts w:asciiTheme="majorHAnsi" w:hAnsiTheme="majorHAnsi"/>
          <w:sz w:val="24"/>
          <w:szCs w:val="24"/>
        </w:rPr>
        <w:t xml:space="preserve"> </w:t>
      </w:r>
      <w:r w:rsidRPr="00AA610F">
        <w:rPr>
          <w:rStyle w:val="st"/>
          <w:rFonts w:asciiTheme="majorHAnsi" w:hAnsiTheme="majorHAnsi"/>
          <w:sz w:val="24"/>
          <w:szCs w:val="24"/>
        </w:rPr>
        <w:t>for 2018</w:t>
      </w:r>
      <w:r w:rsidRPr="00AA610F">
        <w:rPr>
          <w:rStyle w:val="st"/>
          <w:rFonts w:asciiTheme="majorHAnsi" w:hAnsiTheme="majorHAnsi"/>
          <w:sz w:val="24"/>
          <w:szCs w:val="24"/>
        </w:rPr>
        <w:t>.</w:t>
      </w:r>
      <w:r w:rsidRPr="00AA610F">
        <w:rPr>
          <w:rStyle w:val="st"/>
          <w:rFonts w:asciiTheme="majorHAnsi" w:hAnsiTheme="majorHAnsi"/>
          <w:sz w:val="24"/>
          <w:szCs w:val="24"/>
        </w:rPr>
        <w:t>)</w:t>
      </w:r>
      <w:r w:rsidRPr="00AA610F">
        <w:rPr>
          <w:rStyle w:val="st"/>
          <w:rFonts w:asciiTheme="majorHAnsi" w:hAnsiTheme="majorHAnsi"/>
          <w:sz w:val="24"/>
          <w:szCs w:val="24"/>
          <w:vertAlign w:val="superscript"/>
        </w:rPr>
        <w:t>6</w:t>
      </w:r>
    </w:p>
    <w:p w:rsidR="00775662" w:rsidRPr="00AA610F" w:rsidRDefault="001F5FE3" w:rsidP="00FA7533">
      <w:pPr>
        <w:spacing w:line="276" w:lineRule="auto"/>
        <w:jc w:val="both"/>
        <w:rPr>
          <w:rStyle w:val="st"/>
          <w:rFonts w:asciiTheme="majorHAnsi" w:hAnsiTheme="majorHAnsi"/>
          <w:sz w:val="24"/>
          <w:szCs w:val="24"/>
        </w:rPr>
      </w:pPr>
      <w:r w:rsidRPr="00AA610F">
        <w:rPr>
          <w:rStyle w:val="st"/>
          <w:rFonts w:asciiTheme="majorHAnsi" w:hAnsiTheme="majorHAnsi"/>
          <w:sz w:val="24"/>
          <w:szCs w:val="24"/>
        </w:rPr>
        <w:t xml:space="preserve">Early in June, the federal government noted that </w:t>
      </w:r>
      <w:r w:rsidRPr="00AA610F">
        <w:rPr>
          <w:rStyle w:val="st"/>
          <w:rFonts w:asciiTheme="majorHAnsi" w:hAnsiTheme="majorHAnsi"/>
          <w:sz w:val="24"/>
          <w:szCs w:val="24"/>
        </w:rPr>
        <w:t>Social Security</w:t>
      </w:r>
      <w:r w:rsidRPr="00AA610F">
        <w:rPr>
          <w:rStyle w:val="st"/>
          <w:rFonts w:asciiTheme="majorHAnsi" w:hAnsiTheme="majorHAnsi"/>
          <w:sz w:val="24"/>
          <w:szCs w:val="24"/>
        </w:rPr>
        <w:t xml:space="preserve"> would tap into its trust funds in 2018. </w:t>
      </w:r>
      <w:r w:rsidRPr="00AA610F">
        <w:rPr>
          <w:rStyle w:val="st"/>
          <w:rFonts w:asciiTheme="majorHAnsi" w:hAnsiTheme="majorHAnsi"/>
          <w:sz w:val="24"/>
          <w:szCs w:val="24"/>
        </w:rPr>
        <w:t>Th</w:t>
      </w:r>
      <w:r>
        <w:rPr>
          <w:rStyle w:val="st"/>
          <w:rFonts w:asciiTheme="majorHAnsi" w:hAnsiTheme="majorHAnsi"/>
          <w:sz w:val="24"/>
          <w:szCs w:val="24"/>
        </w:rPr>
        <w:t>is</w:t>
      </w:r>
      <w:r w:rsidRPr="00AA610F">
        <w:rPr>
          <w:rStyle w:val="st"/>
          <w:rFonts w:asciiTheme="majorHAnsi" w:hAnsiTheme="majorHAnsi"/>
          <w:sz w:val="24"/>
          <w:szCs w:val="24"/>
        </w:rPr>
        <w:t xml:space="preserve"> last happened</w:t>
      </w:r>
      <w:r>
        <w:rPr>
          <w:rStyle w:val="st"/>
          <w:rFonts w:asciiTheme="majorHAnsi" w:hAnsiTheme="majorHAnsi"/>
          <w:sz w:val="24"/>
          <w:szCs w:val="24"/>
        </w:rPr>
        <w:t xml:space="preserve"> in</w:t>
      </w:r>
      <w:r w:rsidRPr="00AA610F">
        <w:rPr>
          <w:rStyle w:val="st"/>
          <w:rFonts w:asciiTheme="majorHAnsi" w:hAnsiTheme="majorHAnsi"/>
          <w:sz w:val="24"/>
          <w:szCs w:val="24"/>
        </w:rPr>
        <w:t xml:space="preserve"> 1982. The latest report from Social Security’s trustees projected 2034 as the year in which retirement benefits could be cut 23% </w:t>
      </w:r>
      <w:r w:rsidRPr="00AA610F">
        <w:rPr>
          <w:rStyle w:val="st"/>
          <w:rFonts w:asciiTheme="majorHAnsi" w:hAnsiTheme="majorHAnsi"/>
          <w:sz w:val="24"/>
          <w:szCs w:val="24"/>
        </w:rPr>
        <w:t>if no legislative action is taken to help the program</w:t>
      </w:r>
      <w:r w:rsidRPr="00AA610F">
        <w:rPr>
          <w:rStyle w:val="st"/>
          <w:rFonts w:asciiTheme="majorHAnsi" w:hAnsiTheme="majorHAnsi"/>
          <w:sz w:val="24"/>
          <w:szCs w:val="24"/>
        </w:rPr>
        <w:t xml:space="preserve"> beforehand</w:t>
      </w:r>
      <w:r w:rsidRPr="00AA610F">
        <w:rPr>
          <w:rStyle w:val="st"/>
          <w:rFonts w:asciiTheme="majorHAnsi" w:hAnsiTheme="majorHAnsi"/>
          <w:sz w:val="24"/>
          <w:szCs w:val="24"/>
        </w:rPr>
        <w:t>.</w:t>
      </w:r>
      <w:r w:rsidRPr="00AA610F">
        <w:rPr>
          <w:rStyle w:val="st"/>
          <w:rFonts w:asciiTheme="majorHAnsi" w:hAnsiTheme="majorHAnsi"/>
          <w:sz w:val="24"/>
          <w:szCs w:val="24"/>
        </w:rPr>
        <w:t xml:space="preserve"> The trustees also said Medicare’s hospital insurance (Part A) fund could be depleted by 2026, three years earlier than they had previously projected</w:t>
      </w:r>
      <w:r w:rsidRPr="00AA610F">
        <w:rPr>
          <w:rStyle w:val="st"/>
          <w:rFonts w:asciiTheme="majorHAnsi" w:hAnsiTheme="majorHAnsi"/>
          <w:sz w:val="24"/>
          <w:szCs w:val="24"/>
        </w:rPr>
        <w:t>; if nothing is done to boost funding befo</w:t>
      </w:r>
      <w:r w:rsidRPr="00AA610F">
        <w:rPr>
          <w:rStyle w:val="st"/>
          <w:rFonts w:asciiTheme="majorHAnsi" w:hAnsiTheme="majorHAnsi"/>
          <w:sz w:val="24"/>
          <w:szCs w:val="24"/>
        </w:rPr>
        <w:t>re then, it will only be able to pay out 91% of Part A costs in that year.</w:t>
      </w:r>
      <w:r w:rsidRPr="00AA610F">
        <w:rPr>
          <w:rStyle w:val="st"/>
          <w:rFonts w:asciiTheme="majorHAnsi" w:hAnsiTheme="majorHAnsi"/>
          <w:sz w:val="24"/>
          <w:szCs w:val="24"/>
          <w:vertAlign w:val="superscript"/>
        </w:rPr>
        <w:t>7</w:t>
      </w:r>
    </w:p>
    <w:p w:rsidR="00775662" w:rsidRPr="001148FC" w:rsidRDefault="001F5FE3" w:rsidP="00FA7533">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 </w:t>
      </w:r>
    </w:p>
    <w:p w:rsidR="001F5FE3" w:rsidRDefault="001F5FE3" w:rsidP="00FA7533">
      <w:pPr>
        <w:spacing w:line="276" w:lineRule="auto"/>
        <w:jc w:val="both"/>
        <w:rPr>
          <w:rFonts w:asciiTheme="majorHAnsi" w:hAnsiTheme="majorHAnsi"/>
          <w:b/>
          <w:color w:val="3E7BB6"/>
          <w:sz w:val="28"/>
          <w:szCs w:val="24"/>
        </w:rPr>
      </w:pPr>
    </w:p>
    <w:p w:rsidR="001F5FE3" w:rsidRDefault="001F5FE3" w:rsidP="00FA7533">
      <w:pPr>
        <w:spacing w:line="276" w:lineRule="auto"/>
        <w:jc w:val="both"/>
        <w:rPr>
          <w:rFonts w:asciiTheme="majorHAnsi" w:hAnsiTheme="majorHAnsi"/>
          <w:b/>
          <w:color w:val="3E7BB6"/>
          <w:sz w:val="28"/>
          <w:szCs w:val="24"/>
        </w:rPr>
      </w:pPr>
    </w:p>
    <w:p w:rsidR="00775662" w:rsidRPr="00A24F9E" w:rsidRDefault="001F5FE3" w:rsidP="00FA7533">
      <w:pPr>
        <w:spacing w:line="276" w:lineRule="auto"/>
        <w:jc w:val="both"/>
        <w:rPr>
          <w:rFonts w:asciiTheme="majorHAnsi" w:hAnsiTheme="majorHAnsi"/>
          <w:b/>
          <w:sz w:val="28"/>
          <w:szCs w:val="24"/>
        </w:rPr>
      </w:pPr>
      <w:r w:rsidRPr="00775662">
        <w:rPr>
          <w:rFonts w:asciiTheme="majorHAnsi" w:hAnsiTheme="majorHAnsi"/>
          <w:b/>
          <w:color w:val="3E7BB6"/>
          <w:sz w:val="28"/>
          <w:szCs w:val="24"/>
        </w:rPr>
        <w:lastRenderedPageBreak/>
        <w:t>GLOBAL ECONOMIC HEALTH</w:t>
      </w:r>
    </w:p>
    <w:p w:rsidR="00775662" w:rsidRPr="00C27A3E" w:rsidRDefault="001F5FE3" w:rsidP="0028316B">
      <w:pPr>
        <w:spacing w:line="276" w:lineRule="auto"/>
        <w:jc w:val="both"/>
        <w:rPr>
          <w:rFonts w:asciiTheme="majorHAnsi" w:hAnsiTheme="majorHAnsi"/>
          <w:sz w:val="24"/>
          <w:szCs w:val="24"/>
        </w:rPr>
      </w:pPr>
      <w:r w:rsidRPr="00A24F9E">
        <w:rPr>
          <w:rFonts w:asciiTheme="majorHAnsi" w:hAnsiTheme="majorHAnsi"/>
          <w:sz w:val="24"/>
          <w:szCs w:val="24"/>
        </w:rPr>
        <w:t xml:space="preserve">Was </w:t>
      </w:r>
      <w:r w:rsidRPr="00A24F9E">
        <w:rPr>
          <w:rFonts w:asciiTheme="majorHAnsi" w:hAnsiTheme="majorHAnsi"/>
          <w:sz w:val="24"/>
          <w:szCs w:val="24"/>
        </w:rPr>
        <w:t>China</w:t>
      </w:r>
      <w:r w:rsidRPr="00A24F9E">
        <w:rPr>
          <w:rFonts w:asciiTheme="majorHAnsi" w:hAnsiTheme="majorHAnsi"/>
          <w:sz w:val="24"/>
          <w:szCs w:val="24"/>
        </w:rPr>
        <w:t xml:space="preserve"> </w:t>
      </w:r>
      <w:r w:rsidRPr="00A24F9E">
        <w:rPr>
          <w:rFonts w:asciiTheme="majorHAnsi" w:hAnsiTheme="majorHAnsi"/>
          <w:sz w:val="24"/>
          <w:szCs w:val="24"/>
        </w:rPr>
        <w:t>ready to enter a trade war with America? Apparently so. Having already had U.S. tariffs imposed on its washing machines and solar panels earlier this year, the P.R.C. reacted to the probability of $34 billion in import taxes being imposed on its goods on J</w:t>
      </w:r>
      <w:r w:rsidRPr="00A24F9E">
        <w:rPr>
          <w:rFonts w:asciiTheme="majorHAnsi" w:hAnsiTheme="majorHAnsi"/>
          <w:sz w:val="24"/>
          <w:szCs w:val="24"/>
        </w:rPr>
        <w:t>uly 6 by promising an equal tariff: excise taxes on $34</w:t>
      </w:r>
      <w:r w:rsidRPr="00A24F9E">
        <w:rPr>
          <w:rFonts w:asciiTheme="majorHAnsi" w:hAnsiTheme="majorHAnsi"/>
          <w:sz w:val="24"/>
          <w:szCs w:val="24"/>
        </w:rPr>
        <w:t xml:space="preserve"> </w:t>
      </w:r>
      <w:r w:rsidRPr="00A24F9E">
        <w:rPr>
          <w:rFonts w:asciiTheme="majorHAnsi" w:hAnsiTheme="majorHAnsi"/>
          <w:sz w:val="24"/>
          <w:szCs w:val="24"/>
        </w:rPr>
        <w:t xml:space="preserve">billion of products coming from the </w:t>
      </w:r>
      <w:r w:rsidRPr="00A24F9E">
        <w:rPr>
          <w:rFonts w:asciiTheme="majorHAnsi" w:hAnsiTheme="majorHAnsi"/>
          <w:sz w:val="24"/>
          <w:szCs w:val="24"/>
        </w:rPr>
        <w:t>U.S.</w:t>
      </w:r>
      <w:r w:rsidRPr="00A24F9E">
        <w:rPr>
          <w:rFonts w:asciiTheme="majorHAnsi" w:hAnsiTheme="majorHAnsi"/>
          <w:sz w:val="24"/>
          <w:szCs w:val="24"/>
        </w:rPr>
        <w:t>,</w:t>
      </w:r>
      <w:r w:rsidRPr="00A24F9E">
        <w:rPr>
          <w:rFonts w:asciiTheme="majorHAnsi" w:hAnsiTheme="majorHAnsi"/>
          <w:sz w:val="24"/>
          <w:szCs w:val="24"/>
        </w:rPr>
        <w:t xml:space="preserve"> </w:t>
      </w:r>
      <w:r w:rsidRPr="00A24F9E">
        <w:rPr>
          <w:rFonts w:asciiTheme="majorHAnsi" w:hAnsiTheme="majorHAnsi"/>
          <w:sz w:val="24"/>
          <w:szCs w:val="24"/>
        </w:rPr>
        <w:t>commencing on the very same day.</w:t>
      </w:r>
      <w:r w:rsidRPr="00A24F9E">
        <w:rPr>
          <w:rFonts w:asciiTheme="majorHAnsi" w:hAnsiTheme="majorHAnsi"/>
          <w:sz w:val="24"/>
          <w:szCs w:val="24"/>
        </w:rPr>
        <w:t xml:space="preserve"> The n</w:t>
      </w:r>
      <w:r w:rsidRPr="00C27A3E">
        <w:rPr>
          <w:rFonts w:asciiTheme="majorHAnsi" w:hAnsiTheme="majorHAnsi"/>
          <w:sz w:val="24"/>
          <w:szCs w:val="24"/>
        </w:rPr>
        <w:t xml:space="preserve">ation’s manufacturing engine revved down in June; </w:t>
      </w:r>
      <w:r w:rsidRPr="00C27A3E">
        <w:rPr>
          <w:rFonts w:asciiTheme="majorHAnsi" w:hAnsiTheme="majorHAnsi"/>
          <w:sz w:val="24"/>
          <w:szCs w:val="24"/>
        </w:rPr>
        <w:t>its factory PMI fell 0.4 points to 51.5. Its service sector PMI, howev</w:t>
      </w:r>
      <w:r w:rsidRPr="00C27A3E">
        <w:rPr>
          <w:rFonts w:asciiTheme="majorHAnsi" w:hAnsiTheme="majorHAnsi"/>
          <w:sz w:val="24"/>
          <w:szCs w:val="24"/>
        </w:rPr>
        <w:t>er, ticked up from 54.9 to 55.0.</w:t>
      </w:r>
      <w:r w:rsidRPr="00C27A3E">
        <w:rPr>
          <w:rFonts w:asciiTheme="majorHAnsi" w:hAnsiTheme="majorHAnsi"/>
          <w:sz w:val="24"/>
          <w:szCs w:val="24"/>
          <w:vertAlign w:val="superscript"/>
        </w:rPr>
        <w:t>2</w:t>
      </w:r>
      <w:r w:rsidRPr="00C27A3E">
        <w:rPr>
          <w:rFonts w:asciiTheme="majorHAnsi" w:hAnsiTheme="majorHAnsi"/>
          <w:sz w:val="24"/>
          <w:szCs w:val="24"/>
          <w:vertAlign w:val="superscript"/>
        </w:rPr>
        <w:t>,</w:t>
      </w:r>
      <w:r w:rsidRPr="00C27A3E">
        <w:rPr>
          <w:rFonts w:asciiTheme="majorHAnsi" w:hAnsiTheme="majorHAnsi"/>
          <w:sz w:val="24"/>
          <w:szCs w:val="24"/>
          <w:vertAlign w:val="superscript"/>
        </w:rPr>
        <w:t>8</w:t>
      </w:r>
    </w:p>
    <w:p w:rsidR="00775662" w:rsidRPr="00C27A3E" w:rsidRDefault="001F5FE3" w:rsidP="0028316B">
      <w:pPr>
        <w:spacing w:line="276" w:lineRule="auto"/>
        <w:jc w:val="both"/>
        <w:rPr>
          <w:rFonts w:asciiTheme="majorHAnsi" w:hAnsiTheme="majorHAnsi"/>
          <w:sz w:val="24"/>
          <w:szCs w:val="24"/>
          <w:vertAlign w:val="superscript"/>
        </w:rPr>
      </w:pPr>
      <w:r w:rsidRPr="00C27A3E">
        <w:rPr>
          <w:rFonts w:asciiTheme="majorHAnsi" w:hAnsiTheme="majorHAnsi"/>
          <w:sz w:val="24"/>
          <w:szCs w:val="24"/>
        </w:rPr>
        <w:t>Last month, t</w:t>
      </w:r>
      <w:r w:rsidRPr="00C27A3E">
        <w:rPr>
          <w:rFonts w:asciiTheme="majorHAnsi" w:hAnsiTheme="majorHAnsi"/>
          <w:sz w:val="24"/>
          <w:szCs w:val="24"/>
        </w:rPr>
        <w:t xml:space="preserve">he </w:t>
      </w:r>
      <w:r w:rsidRPr="00C27A3E">
        <w:rPr>
          <w:rFonts w:asciiTheme="majorHAnsi" w:hAnsiTheme="majorHAnsi"/>
          <w:sz w:val="24"/>
          <w:szCs w:val="24"/>
        </w:rPr>
        <w:t>European Union</w:t>
      </w:r>
      <w:r w:rsidRPr="00C27A3E">
        <w:rPr>
          <w:rFonts w:asciiTheme="majorHAnsi" w:hAnsiTheme="majorHAnsi"/>
          <w:sz w:val="24"/>
          <w:szCs w:val="24"/>
        </w:rPr>
        <w:t xml:space="preserve"> </w:t>
      </w:r>
      <w:r w:rsidRPr="00C27A3E">
        <w:rPr>
          <w:rFonts w:asciiTheme="majorHAnsi" w:hAnsiTheme="majorHAnsi"/>
          <w:sz w:val="24"/>
          <w:szCs w:val="24"/>
        </w:rPr>
        <w:t xml:space="preserve">responded to the metals tariffs enacted by the U.S. on its steel and aluminum exports with </w:t>
      </w:r>
      <w:r w:rsidRPr="00C27A3E">
        <w:rPr>
          <w:rFonts w:asciiTheme="majorHAnsi" w:hAnsiTheme="majorHAnsi"/>
          <w:sz w:val="24"/>
          <w:szCs w:val="24"/>
        </w:rPr>
        <w:t xml:space="preserve">25% </w:t>
      </w:r>
      <w:r w:rsidRPr="00C27A3E">
        <w:rPr>
          <w:rFonts w:asciiTheme="majorHAnsi" w:hAnsiTheme="majorHAnsi"/>
          <w:sz w:val="24"/>
          <w:szCs w:val="24"/>
        </w:rPr>
        <w:t>duties on assorted U.S. imports (including motorcycles</w:t>
      </w:r>
      <w:r w:rsidRPr="00C27A3E">
        <w:rPr>
          <w:rFonts w:asciiTheme="majorHAnsi" w:hAnsiTheme="majorHAnsi"/>
          <w:sz w:val="24"/>
          <w:szCs w:val="24"/>
        </w:rPr>
        <w:t>, bourbon, jeans,</w:t>
      </w:r>
      <w:r w:rsidRPr="00C27A3E">
        <w:rPr>
          <w:rFonts w:asciiTheme="majorHAnsi" w:hAnsiTheme="majorHAnsi"/>
          <w:sz w:val="24"/>
          <w:szCs w:val="24"/>
        </w:rPr>
        <w:t xml:space="preserve"> and orange juice).</w:t>
      </w:r>
      <w:r w:rsidRPr="00C27A3E">
        <w:rPr>
          <w:rFonts w:asciiTheme="majorHAnsi" w:hAnsiTheme="majorHAnsi"/>
          <w:sz w:val="24"/>
          <w:szCs w:val="24"/>
        </w:rPr>
        <w:t xml:space="preserve"> The Trump administration’s pledge to impose tariffs on cars coming from the E.U. was met with </w:t>
      </w:r>
      <w:r w:rsidRPr="00C27A3E">
        <w:rPr>
          <w:rFonts w:asciiTheme="majorHAnsi" w:hAnsiTheme="majorHAnsi"/>
          <w:sz w:val="24"/>
          <w:szCs w:val="24"/>
        </w:rPr>
        <w:t>a</w:t>
      </w:r>
      <w:r>
        <w:rPr>
          <w:rFonts w:asciiTheme="majorHAnsi" w:hAnsiTheme="majorHAnsi"/>
          <w:sz w:val="24"/>
          <w:szCs w:val="24"/>
        </w:rPr>
        <w:t>n immediate</w:t>
      </w:r>
      <w:r w:rsidRPr="00C27A3E">
        <w:rPr>
          <w:rFonts w:asciiTheme="majorHAnsi" w:hAnsiTheme="majorHAnsi"/>
          <w:sz w:val="24"/>
          <w:szCs w:val="24"/>
        </w:rPr>
        <w:t xml:space="preserve"> warning: the E.U. was ready to put additional import taxes on American-made goods. Any such </w:t>
      </w:r>
      <w:r>
        <w:rPr>
          <w:rFonts w:asciiTheme="majorHAnsi" w:hAnsiTheme="majorHAnsi"/>
          <w:sz w:val="24"/>
          <w:szCs w:val="24"/>
        </w:rPr>
        <w:t xml:space="preserve">retaliatory </w:t>
      </w:r>
      <w:r w:rsidRPr="00C27A3E">
        <w:rPr>
          <w:rFonts w:asciiTheme="majorHAnsi" w:hAnsiTheme="majorHAnsi"/>
          <w:sz w:val="24"/>
          <w:szCs w:val="24"/>
        </w:rPr>
        <w:t>tariffs might be sizable</w:t>
      </w:r>
      <w:r>
        <w:rPr>
          <w:rFonts w:asciiTheme="majorHAnsi" w:hAnsiTheme="majorHAnsi"/>
          <w:sz w:val="24"/>
          <w:szCs w:val="24"/>
        </w:rPr>
        <w:t>,</w:t>
      </w:r>
      <w:r w:rsidRPr="00C27A3E">
        <w:rPr>
          <w:rFonts w:asciiTheme="majorHAnsi" w:hAnsiTheme="majorHAnsi"/>
          <w:sz w:val="24"/>
          <w:szCs w:val="24"/>
        </w:rPr>
        <w:t xml:space="preserve"> </w:t>
      </w:r>
      <w:r>
        <w:rPr>
          <w:rFonts w:asciiTheme="majorHAnsi" w:hAnsiTheme="majorHAnsi"/>
          <w:sz w:val="24"/>
          <w:szCs w:val="24"/>
        </w:rPr>
        <w:t>since</w:t>
      </w:r>
      <w:r w:rsidRPr="00C27A3E">
        <w:rPr>
          <w:rFonts w:asciiTheme="majorHAnsi" w:hAnsiTheme="majorHAnsi"/>
          <w:sz w:val="24"/>
          <w:szCs w:val="24"/>
        </w:rPr>
        <w:t xml:space="preserve"> the value of</w:t>
      </w:r>
      <w:r w:rsidRPr="00C27A3E">
        <w:rPr>
          <w:rFonts w:asciiTheme="majorHAnsi" w:hAnsiTheme="majorHAnsi"/>
          <w:sz w:val="24"/>
          <w:szCs w:val="24"/>
        </w:rPr>
        <w:t xml:space="preserve"> exported autos coming from the E.U. to the U.S. is about 10 times that of the E.U.’s total steel and aluminum exports.</w:t>
      </w:r>
      <w:r w:rsidRPr="00C27A3E">
        <w:rPr>
          <w:rFonts w:asciiTheme="majorHAnsi" w:hAnsiTheme="majorHAnsi"/>
          <w:sz w:val="24"/>
          <w:szCs w:val="24"/>
          <w:vertAlign w:val="superscript"/>
        </w:rPr>
        <w:t>2,9</w:t>
      </w:r>
    </w:p>
    <w:p w:rsidR="00775662" w:rsidRPr="001148FC" w:rsidRDefault="001F5FE3" w:rsidP="00FA7533">
      <w:pPr>
        <w:spacing w:line="276" w:lineRule="auto"/>
        <w:jc w:val="both"/>
        <w:rPr>
          <w:rFonts w:asciiTheme="majorHAnsi" w:hAnsiTheme="majorHAnsi"/>
          <w:sz w:val="24"/>
          <w:szCs w:val="24"/>
        </w:rPr>
      </w:pPr>
      <w:r>
        <w:rPr>
          <w:rFonts w:asciiTheme="majorHAnsi" w:hAnsiTheme="majorHAnsi"/>
          <w:sz w:val="24"/>
          <w:szCs w:val="24"/>
        </w:rPr>
        <w:t xml:space="preserve"> </w:t>
      </w:r>
    </w:p>
    <w:p w:rsidR="00B87E49" w:rsidRDefault="001F5FE3" w:rsidP="00FA7533">
      <w:pPr>
        <w:pStyle w:val="PlainText"/>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B87E49" w:rsidRPr="0049134E" w:rsidRDefault="001F5FE3" w:rsidP="00FA7533">
      <w:pPr>
        <w:pStyle w:val="PlainText"/>
        <w:spacing w:line="276" w:lineRule="auto"/>
        <w:jc w:val="both"/>
        <w:rPr>
          <w:rFonts w:asciiTheme="majorHAnsi" w:hAnsiTheme="majorHAnsi"/>
          <w:b/>
          <w:sz w:val="28"/>
          <w:szCs w:val="24"/>
        </w:rPr>
      </w:pPr>
      <w:r>
        <w:rPr>
          <w:rFonts w:asciiTheme="majorHAnsi" w:hAnsiTheme="majorHAnsi"/>
          <w:b/>
          <w:sz w:val="28"/>
          <w:szCs w:val="24"/>
        </w:rPr>
        <w:t xml:space="preserve"> </w:t>
      </w:r>
    </w:p>
    <w:p w:rsidR="00826742" w:rsidRPr="00826742" w:rsidRDefault="001F5FE3" w:rsidP="0028316B">
      <w:pPr>
        <w:pStyle w:val="PlainText"/>
        <w:spacing w:after="160" w:line="276" w:lineRule="auto"/>
        <w:jc w:val="both"/>
        <w:rPr>
          <w:rFonts w:asciiTheme="majorHAnsi" w:hAnsiTheme="majorHAnsi" w:cs="Courier New"/>
          <w:sz w:val="24"/>
          <w:szCs w:val="24"/>
        </w:rPr>
      </w:pPr>
      <w:r w:rsidRPr="0049134E">
        <w:rPr>
          <w:rFonts w:asciiTheme="majorHAnsi" w:hAnsiTheme="majorHAnsi" w:cs="Courier New"/>
          <w:sz w:val="24"/>
          <w:szCs w:val="24"/>
        </w:rPr>
        <w:t xml:space="preserve">The benchmark indices of Mexico and Canada had a fine June. In Mexico City, the Bolsa jumped 6.75% for the month, while </w:t>
      </w:r>
      <w:r>
        <w:rPr>
          <w:rFonts w:asciiTheme="majorHAnsi" w:hAnsiTheme="majorHAnsi" w:cs="Courier New"/>
          <w:sz w:val="24"/>
          <w:szCs w:val="24"/>
        </w:rPr>
        <w:t xml:space="preserve">in Toronto, </w:t>
      </w:r>
      <w:r w:rsidRPr="0049134E">
        <w:rPr>
          <w:rFonts w:asciiTheme="majorHAnsi" w:hAnsiTheme="majorHAnsi" w:cs="Courier New"/>
          <w:sz w:val="24"/>
          <w:szCs w:val="24"/>
        </w:rPr>
        <w:t>the TSX Composite added 2.23%. A look around the world reveals a few other gains: 2.74% for Australia’s All Ordinaries, 1.06</w:t>
      </w:r>
      <w:r w:rsidRPr="0049134E">
        <w:rPr>
          <w:rFonts w:asciiTheme="majorHAnsi" w:hAnsiTheme="majorHAnsi" w:cs="Courier New"/>
          <w:sz w:val="24"/>
          <w:szCs w:val="24"/>
        </w:rPr>
        <w:t>% for Spain’s I</w:t>
      </w:r>
      <w:r w:rsidRPr="0049134E">
        <w:rPr>
          <w:rFonts w:asciiTheme="majorHAnsi" w:hAnsiTheme="majorHAnsi" w:cs="Courier New"/>
          <w:sz w:val="24"/>
          <w:szCs w:val="24"/>
        </w:rPr>
        <w:t>BEX</w:t>
      </w:r>
      <w:r w:rsidRPr="0049134E">
        <w:rPr>
          <w:rFonts w:asciiTheme="majorHAnsi" w:hAnsiTheme="majorHAnsi" w:cs="Courier New"/>
          <w:sz w:val="24"/>
          <w:szCs w:val="24"/>
        </w:rPr>
        <w:t xml:space="preserve"> 35, 1.36% for India’s Sensex, and 0.76% for India’s other marquee index, the Nifty 50.</w:t>
      </w:r>
      <w:r w:rsidRPr="0049134E">
        <w:rPr>
          <w:rFonts w:asciiTheme="majorHAnsi" w:hAnsiTheme="majorHAnsi" w:cs="Courier New"/>
          <w:sz w:val="24"/>
          <w:szCs w:val="24"/>
          <w:vertAlign w:val="superscript"/>
        </w:rPr>
        <w:t>10</w:t>
      </w:r>
      <w:r w:rsidRPr="0049134E">
        <w:rPr>
          <w:rFonts w:asciiTheme="majorHAnsi" w:hAnsiTheme="majorHAnsi" w:cs="Courier New"/>
          <w:sz w:val="24"/>
          <w:szCs w:val="24"/>
        </w:rPr>
        <w:t xml:space="preserve"> </w:t>
      </w:r>
    </w:p>
    <w:p w:rsidR="00775662" w:rsidRPr="000833F3" w:rsidRDefault="001F5FE3" w:rsidP="0028316B">
      <w:pPr>
        <w:pStyle w:val="PlainText"/>
        <w:spacing w:after="160" w:line="276" w:lineRule="auto"/>
        <w:jc w:val="both"/>
        <w:rPr>
          <w:rFonts w:asciiTheme="majorHAnsi" w:hAnsiTheme="majorHAnsi" w:cs="Courier New"/>
          <w:sz w:val="24"/>
          <w:szCs w:val="24"/>
        </w:rPr>
      </w:pPr>
      <w:r w:rsidRPr="00826742">
        <w:rPr>
          <w:rFonts w:asciiTheme="majorHAnsi" w:hAnsiTheme="majorHAnsi" w:cs="Courier New"/>
          <w:sz w:val="24"/>
          <w:szCs w:val="24"/>
        </w:rPr>
        <w:t>Other stock gauges simply slumped as investors grew pessimistic. The Shanghai Co</w:t>
      </w:r>
      <w:r w:rsidRPr="00EA747F">
        <w:rPr>
          <w:rFonts w:asciiTheme="majorHAnsi" w:hAnsiTheme="majorHAnsi" w:cs="Courier New"/>
          <w:sz w:val="24"/>
          <w:szCs w:val="24"/>
        </w:rPr>
        <w:t>mposite took the hardest fall of any major benchmark last month, dr</w:t>
      </w:r>
      <w:r w:rsidRPr="00EA747F">
        <w:rPr>
          <w:rFonts w:asciiTheme="majorHAnsi" w:hAnsiTheme="majorHAnsi" w:cs="Courier New"/>
          <w:sz w:val="24"/>
          <w:szCs w:val="24"/>
        </w:rPr>
        <w:t xml:space="preserve">opping 8.72%. Argentina’s Merval slipped 8.08%. </w:t>
      </w:r>
      <w:r w:rsidRPr="00EA747F">
        <w:rPr>
          <w:rFonts w:asciiTheme="majorHAnsi" w:hAnsiTheme="majorHAnsi" w:cs="Courier New"/>
          <w:sz w:val="24"/>
          <w:szCs w:val="24"/>
        </w:rPr>
        <w:t>South Korea’s Kospi lost 5.34%, while the Hang Seng declined 5.02%.</w:t>
      </w:r>
      <w:r w:rsidRPr="00EA747F">
        <w:rPr>
          <w:rFonts w:asciiTheme="majorHAnsi" w:hAnsiTheme="majorHAnsi" w:cs="Courier New"/>
          <w:sz w:val="24"/>
          <w:szCs w:val="24"/>
        </w:rPr>
        <w:t xml:space="preserve"> Brazil’s</w:t>
      </w:r>
      <w:r w:rsidRPr="00EA747F">
        <w:rPr>
          <w:rFonts w:asciiTheme="majorHAnsi" w:hAnsiTheme="majorHAnsi" w:cs="Courier New"/>
          <w:sz w:val="24"/>
          <w:szCs w:val="24"/>
        </w:rPr>
        <w:t xml:space="preserve"> Bovespa</w:t>
      </w:r>
      <w:r w:rsidRPr="00EA747F">
        <w:rPr>
          <w:rFonts w:asciiTheme="majorHAnsi" w:hAnsiTheme="majorHAnsi" w:cs="Courier New"/>
          <w:sz w:val="24"/>
          <w:szCs w:val="24"/>
        </w:rPr>
        <w:t xml:space="preserve"> retreated</w:t>
      </w:r>
      <w:r w:rsidRPr="00EA747F">
        <w:rPr>
          <w:rFonts w:asciiTheme="majorHAnsi" w:hAnsiTheme="majorHAnsi" w:cs="Courier New"/>
          <w:sz w:val="24"/>
          <w:szCs w:val="24"/>
        </w:rPr>
        <w:t xml:space="preserve"> 4.35%</w:t>
      </w:r>
      <w:r w:rsidRPr="00EA747F">
        <w:rPr>
          <w:rFonts w:asciiTheme="majorHAnsi" w:hAnsiTheme="majorHAnsi" w:cs="Courier New"/>
          <w:sz w:val="24"/>
          <w:szCs w:val="24"/>
        </w:rPr>
        <w:t>. In Europe, Germany’s DAX</w:t>
      </w:r>
      <w:r w:rsidRPr="00EA747F">
        <w:rPr>
          <w:rFonts w:asciiTheme="majorHAnsi" w:hAnsiTheme="majorHAnsi" w:cs="Courier New"/>
          <w:sz w:val="24"/>
          <w:szCs w:val="24"/>
        </w:rPr>
        <w:t xml:space="preserve"> </w:t>
      </w:r>
      <w:r w:rsidRPr="00EA747F">
        <w:rPr>
          <w:rFonts w:asciiTheme="majorHAnsi" w:hAnsiTheme="majorHAnsi" w:cs="Courier New"/>
          <w:sz w:val="24"/>
          <w:szCs w:val="24"/>
        </w:rPr>
        <w:t>lost</w:t>
      </w:r>
      <w:r w:rsidRPr="00EA747F">
        <w:rPr>
          <w:rFonts w:asciiTheme="majorHAnsi" w:hAnsiTheme="majorHAnsi" w:cs="Courier New"/>
          <w:sz w:val="24"/>
          <w:szCs w:val="24"/>
        </w:rPr>
        <w:t xml:space="preserve"> 2.85%</w:t>
      </w:r>
      <w:r>
        <w:rPr>
          <w:rFonts w:asciiTheme="majorHAnsi" w:hAnsiTheme="majorHAnsi" w:cs="Courier New"/>
          <w:sz w:val="24"/>
          <w:szCs w:val="24"/>
        </w:rPr>
        <w:t>;</w:t>
      </w:r>
      <w:r w:rsidRPr="00EA747F">
        <w:rPr>
          <w:rFonts w:asciiTheme="majorHAnsi" w:hAnsiTheme="majorHAnsi" w:cs="Courier New"/>
          <w:sz w:val="24"/>
          <w:szCs w:val="24"/>
        </w:rPr>
        <w:t xml:space="preserve"> France’s CAC 40</w:t>
      </w:r>
      <w:r>
        <w:rPr>
          <w:rFonts w:asciiTheme="majorHAnsi" w:hAnsiTheme="majorHAnsi" w:cs="Courier New"/>
          <w:sz w:val="24"/>
          <w:szCs w:val="24"/>
        </w:rPr>
        <w:t>,</w:t>
      </w:r>
      <w:r w:rsidRPr="00EA747F">
        <w:rPr>
          <w:rFonts w:asciiTheme="majorHAnsi" w:hAnsiTheme="majorHAnsi" w:cs="Courier New"/>
          <w:sz w:val="24"/>
          <w:szCs w:val="24"/>
        </w:rPr>
        <w:t xml:space="preserve"> 2.11%</w:t>
      </w:r>
      <w:r>
        <w:rPr>
          <w:rFonts w:asciiTheme="majorHAnsi" w:hAnsiTheme="majorHAnsi" w:cs="Courier New"/>
          <w:sz w:val="24"/>
          <w:szCs w:val="24"/>
        </w:rPr>
        <w:t>;</w:t>
      </w:r>
      <w:r w:rsidRPr="00EA747F">
        <w:rPr>
          <w:rFonts w:asciiTheme="majorHAnsi" w:hAnsiTheme="majorHAnsi" w:cs="Courier New"/>
          <w:sz w:val="24"/>
          <w:szCs w:val="24"/>
        </w:rPr>
        <w:t xml:space="preserve"> </w:t>
      </w:r>
      <w:r w:rsidRPr="0049134E">
        <w:rPr>
          <w:rFonts w:asciiTheme="majorHAnsi" w:hAnsiTheme="majorHAnsi" w:cs="Courier New"/>
          <w:sz w:val="24"/>
          <w:szCs w:val="24"/>
        </w:rPr>
        <w:t>the FTSE Eurofirst 300</w:t>
      </w:r>
      <w:r>
        <w:rPr>
          <w:rFonts w:asciiTheme="majorHAnsi" w:hAnsiTheme="majorHAnsi" w:cs="Courier New"/>
          <w:sz w:val="24"/>
          <w:szCs w:val="24"/>
        </w:rPr>
        <w:t>,</w:t>
      </w:r>
      <w:r w:rsidRPr="0049134E">
        <w:rPr>
          <w:rFonts w:asciiTheme="majorHAnsi" w:hAnsiTheme="majorHAnsi" w:cs="Courier New"/>
          <w:sz w:val="24"/>
          <w:szCs w:val="24"/>
        </w:rPr>
        <w:t xml:space="preserve"> 1.23%.</w:t>
      </w:r>
      <w:r w:rsidRPr="0049134E">
        <w:rPr>
          <w:rFonts w:asciiTheme="majorHAnsi" w:hAnsiTheme="majorHAnsi" w:cs="Courier New"/>
          <w:sz w:val="24"/>
          <w:szCs w:val="24"/>
        </w:rPr>
        <w:t xml:space="preserve"> </w:t>
      </w:r>
      <w:r w:rsidRPr="0049134E">
        <w:rPr>
          <w:rFonts w:asciiTheme="majorHAnsi" w:hAnsiTheme="majorHAnsi" w:cs="Courier New"/>
          <w:sz w:val="24"/>
          <w:szCs w:val="24"/>
        </w:rPr>
        <w:t xml:space="preserve">The </w:t>
      </w:r>
      <w:r w:rsidRPr="0049134E">
        <w:rPr>
          <w:rFonts w:asciiTheme="majorHAnsi" w:hAnsiTheme="majorHAnsi" w:cs="Courier New"/>
          <w:sz w:val="24"/>
          <w:szCs w:val="24"/>
        </w:rPr>
        <w:t>Nikkei 225</w:t>
      </w:r>
      <w:r w:rsidRPr="0049134E">
        <w:rPr>
          <w:rFonts w:asciiTheme="majorHAnsi" w:hAnsiTheme="majorHAnsi" w:cs="Courier New"/>
          <w:sz w:val="24"/>
          <w:szCs w:val="24"/>
        </w:rPr>
        <w:t xml:space="preserve"> was barely harmed, down </w:t>
      </w:r>
      <w:r w:rsidRPr="0049134E">
        <w:rPr>
          <w:rFonts w:asciiTheme="majorHAnsi" w:hAnsiTheme="majorHAnsi" w:cs="Courier New"/>
          <w:sz w:val="24"/>
          <w:szCs w:val="24"/>
        </w:rPr>
        <w:t>only</w:t>
      </w:r>
      <w:r w:rsidRPr="0049134E">
        <w:rPr>
          <w:rFonts w:asciiTheme="majorHAnsi" w:hAnsiTheme="majorHAnsi" w:cs="Courier New"/>
          <w:sz w:val="24"/>
          <w:szCs w:val="24"/>
        </w:rPr>
        <w:t xml:space="preserve"> 0.24%</w:t>
      </w:r>
      <w:r w:rsidRPr="0049134E">
        <w:rPr>
          <w:rFonts w:asciiTheme="majorHAnsi" w:hAnsiTheme="majorHAnsi" w:cs="Courier New"/>
          <w:sz w:val="24"/>
          <w:szCs w:val="24"/>
        </w:rPr>
        <w:t xml:space="preserve"> for the month.</w:t>
      </w:r>
      <w:r w:rsidRPr="0049134E">
        <w:rPr>
          <w:rFonts w:asciiTheme="majorHAnsi" w:hAnsiTheme="majorHAnsi" w:cs="Courier New"/>
          <w:sz w:val="24"/>
          <w:szCs w:val="24"/>
        </w:rPr>
        <w:t xml:space="preserve"> </w:t>
      </w:r>
      <w:r w:rsidRPr="0049134E">
        <w:rPr>
          <w:rFonts w:asciiTheme="majorHAnsi" w:hAnsiTheme="majorHAnsi" w:cs="Courier New"/>
          <w:sz w:val="24"/>
          <w:szCs w:val="24"/>
        </w:rPr>
        <w:t>While the MSCI World Index lost just 0.17%, the MSCI Emerging Markets index fell 4.57%.</w:t>
      </w:r>
      <w:r w:rsidRPr="0049134E">
        <w:rPr>
          <w:rFonts w:asciiTheme="majorHAnsi" w:hAnsiTheme="majorHAnsi" w:cs="Courier New"/>
          <w:sz w:val="24"/>
          <w:szCs w:val="24"/>
          <w:vertAlign w:val="superscript"/>
        </w:rPr>
        <w:t>10,11</w:t>
      </w:r>
      <w:r w:rsidRPr="000833F3">
        <w:rPr>
          <w:rFonts w:asciiTheme="majorHAnsi" w:hAnsiTheme="majorHAnsi" w:cs="Courier New"/>
          <w:sz w:val="24"/>
          <w:szCs w:val="24"/>
        </w:rPr>
        <w:t xml:space="preserve"> </w:t>
      </w:r>
    </w:p>
    <w:p w:rsidR="004C7421" w:rsidRPr="001148FC" w:rsidRDefault="001F5FE3" w:rsidP="004C7421">
      <w:pPr>
        <w:spacing w:line="276" w:lineRule="auto"/>
        <w:jc w:val="both"/>
        <w:rPr>
          <w:rFonts w:asciiTheme="majorHAnsi" w:hAnsiTheme="majorHAnsi"/>
          <w:sz w:val="24"/>
          <w:szCs w:val="24"/>
        </w:rPr>
      </w:pPr>
      <w:r>
        <w:rPr>
          <w:rFonts w:asciiTheme="majorHAnsi" w:hAnsiTheme="majorHAnsi" w:cs="Courier New"/>
          <w:sz w:val="24"/>
          <w:szCs w:val="24"/>
        </w:rPr>
        <w:t xml:space="preserve"> </w:t>
      </w:r>
    </w:p>
    <w:p w:rsidR="00B87E49" w:rsidRDefault="001F5FE3" w:rsidP="004C7421">
      <w:pPr>
        <w:pStyle w:val="PlainText"/>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COMMODITIES MARKETS</w:t>
      </w:r>
    </w:p>
    <w:p w:rsidR="00B87E49" w:rsidRPr="00CD46CD" w:rsidRDefault="001F5FE3" w:rsidP="00FA7533">
      <w:pPr>
        <w:pStyle w:val="PlainText"/>
        <w:spacing w:line="276" w:lineRule="auto"/>
        <w:jc w:val="both"/>
        <w:rPr>
          <w:rFonts w:asciiTheme="majorHAnsi" w:hAnsiTheme="majorHAnsi"/>
          <w:b/>
          <w:sz w:val="28"/>
          <w:szCs w:val="24"/>
        </w:rPr>
      </w:pPr>
    </w:p>
    <w:p w:rsidR="00CD46CD" w:rsidRPr="006161AC" w:rsidRDefault="001F5FE3" w:rsidP="004C7421">
      <w:pPr>
        <w:pStyle w:val="PlainText"/>
        <w:spacing w:after="160" w:line="276" w:lineRule="auto"/>
        <w:jc w:val="both"/>
        <w:rPr>
          <w:rFonts w:asciiTheme="majorHAnsi" w:hAnsiTheme="majorHAnsi" w:cs="Courier New"/>
          <w:sz w:val="24"/>
          <w:szCs w:val="24"/>
        </w:rPr>
      </w:pPr>
      <w:r w:rsidRPr="00CD46CD">
        <w:rPr>
          <w:rFonts w:asciiTheme="majorHAnsi" w:hAnsiTheme="majorHAnsi" w:cs="Courier New"/>
          <w:sz w:val="24"/>
          <w:szCs w:val="24"/>
        </w:rPr>
        <w:t xml:space="preserve">Rising 10.66% for the month, WTI crude oil settled at $74.25 on the NYMEX on June 29. Heating oil futures improved 0.23% </w:t>
      </w:r>
      <w:r w:rsidRPr="006161AC">
        <w:rPr>
          <w:rFonts w:asciiTheme="majorHAnsi" w:hAnsiTheme="majorHAnsi" w:cs="Courier New"/>
          <w:sz w:val="24"/>
          <w:szCs w:val="24"/>
        </w:rPr>
        <w:t>in June, but unleaded gasoline futures declined 1.13%</w:t>
      </w:r>
      <w:r>
        <w:rPr>
          <w:rFonts w:asciiTheme="majorHAnsi" w:hAnsiTheme="majorHAnsi" w:cs="Courier New"/>
          <w:sz w:val="24"/>
          <w:szCs w:val="24"/>
        </w:rPr>
        <w:t>,</w:t>
      </w:r>
      <w:r w:rsidRPr="006161AC">
        <w:rPr>
          <w:rFonts w:asciiTheme="majorHAnsi" w:hAnsiTheme="majorHAnsi" w:cs="Courier New"/>
          <w:sz w:val="24"/>
          <w:szCs w:val="24"/>
        </w:rPr>
        <w:t xml:space="preserve"> and natural gas futures</w:t>
      </w:r>
      <w:r>
        <w:rPr>
          <w:rFonts w:asciiTheme="majorHAnsi" w:hAnsiTheme="majorHAnsi" w:cs="Courier New"/>
          <w:sz w:val="24"/>
          <w:szCs w:val="24"/>
        </w:rPr>
        <w:t>,</w:t>
      </w:r>
      <w:r w:rsidRPr="006161AC">
        <w:rPr>
          <w:rFonts w:asciiTheme="majorHAnsi" w:hAnsiTheme="majorHAnsi" w:cs="Courier New"/>
          <w:sz w:val="24"/>
          <w:szCs w:val="24"/>
        </w:rPr>
        <w:t xml:space="preserve"> 1.15%.</w:t>
      </w:r>
      <w:r w:rsidRPr="004C7421">
        <w:rPr>
          <w:rFonts w:asciiTheme="majorHAnsi" w:hAnsiTheme="majorHAnsi" w:cs="Courier New"/>
          <w:sz w:val="24"/>
          <w:szCs w:val="24"/>
          <w:vertAlign w:val="superscript"/>
        </w:rPr>
        <w:t>12</w:t>
      </w:r>
      <w:r w:rsidRPr="006161AC">
        <w:rPr>
          <w:rFonts w:asciiTheme="majorHAnsi" w:hAnsiTheme="majorHAnsi" w:cs="Courier New"/>
          <w:sz w:val="24"/>
          <w:szCs w:val="24"/>
        </w:rPr>
        <w:t xml:space="preserve"> </w:t>
      </w:r>
    </w:p>
    <w:p w:rsidR="00775662" w:rsidRPr="006161AC" w:rsidRDefault="001F5FE3" w:rsidP="004C7421">
      <w:pPr>
        <w:pStyle w:val="PlainText"/>
        <w:spacing w:after="160" w:line="276" w:lineRule="auto"/>
        <w:jc w:val="both"/>
        <w:rPr>
          <w:rFonts w:asciiTheme="majorHAnsi" w:hAnsiTheme="majorHAnsi" w:cs="Courier New"/>
          <w:sz w:val="24"/>
          <w:szCs w:val="24"/>
        </w:rPr>
      </w:pPr>
      <w:r w:rsidRPr="006161AC">
        <w:rPr>
          <w:rFonts w:asciiTheme="majorHAnsi" w:hAnsiTheme="majorHAnsi" w:cs="Courier New"/>
          <w:sz w:val="24"/>
          <w:szCs w:val="24"/>
        </w:rPr>
        <w:lastRenderedPageBreak/>
        <w:t>All four marquee metals retreated in June. Si</w:t>
      </w:r>
      <w:r w:rsidRPr="006161AC">
        <w:rPr>
          <w:rFonts w:asciiTheme="majorHAnsi" w:hAnsiTheme="majorHAnsi" w:cs="Courier New"/>
          <w:sz w:val="24"/>
          <w:szCs w:val="24"/>
        </w:rPr>
        <w:t>lver lost the least, falling 2.67%. Copper slipped 3.34%</w:t>
      </w:r>
      <w:r>
        <w:rPr>
          <w:rFonts w:asciiTheme="majorHAnsi" w:hAnsiTheme="majorHAnsi" w:cs="Courier New"/>
          <w:sz w:val="24"/>
          <w:szCs w:val="24"/>
        </w:rPr>
        <w:t>;</w:t>
      </w:r>
      <w:r w:rsidRPr="006161AC">
        <w:rPr>
          <w:rFonts w:asciiTheme="majorHAnsi" w:hAnsiTheme="majorHAnsi" w:cs="Courier New"/>
          <w:sz w:val="24"/>
          <w:szCs w:val="24"/>
        </w:rPr>
        <w:t xml:space="preserve"> g</w:t>
      </w:r>
      <w:r w:rsidRPr="006161AC">
        <w:rPr>
          <w:rFonts w:asciiTheme="majorHAnsi" w:hAnsiTheme="majorHAnsi" w:cs="Courier New"/>
          <w:sz w:val="24"/>
          <w:szCs w:val="24"/>
        </w:rPr>
        <w:t>old</w:t>
      </w:r>
      <w:r>
        <w:rPr>
          <w:rFonts w:asciiTheme="majorHAnsi" w:hAnsiTheme="majorHAnsi" w:cs="Courier New"/>
          <w:sz w:val="24"/>
          <w:szCs w:val="24"/>
        </w:rPr>
        <w:t>,</w:t>
      </w:r>
      <w:r w:rsidRPr="006161AC">
        <w:rPr>
          <w:rFonts w:asciiTheme="majorHAnsi" w:hAnsiTheme="majorHAnsi" w:cs="Courier New"/>
          <w:sz w:val="24"/>
          <w:szCs w:val="24"/>
        </w:rPr>
        <w:t xml:space="preserve"> 3.37%</w:t>
      </w:r>
      <w:r>
        <w:rPr>
          <w:rFonts w:asciiTheme="majorHAnsi" w:hAnsiTheme="majorHAnsi" w:cs="Courier New"/>
          <w:sz w:val="24"/>
          <w:szCs w:val="24"/>
        </w:rPr>
        <w:t>;</w:t>
      </w:r>
      <w:r w:rsidRPr="006161AC">
        <w:rPr>
          <w:rFonts w:asciiTheme="majorHAnsi" w:hAnsiTheme="majorHAnsi" w:cs="Courier New"/>
          <w:sz w:val="24"/>
          <w:szCs w:val="24"/>
        </w:rPr>
        <w:t xml:space="preserve"> platinum</w:t>
      </w:r>
      <w:r>
        <w:rPr>
          <w:rFonts w:asciiTheme="majorHAnsi" w:hAnsiTheme="majorHAnsi" w:cs="Courier New"/>
          <w:sz w:val="24"/>
          <w:szCs w:val="24"/>
        </w:rPr>
        <w:t>,</w:t>
      </w:r>
      <w:r w:rsidRPr="006161AC">
        <w:rPr>
          <w:rFonts w:asciiTheme="majorHAnsi" w:hAnsiTheme="majorHAnsi" w:cs="Courier New"/>
          <w:sz w:val="24"/>
          <w:szCs w:val="24"/>
        </w:rPr>
        <w:t xml:space="preserve"> 6.21%.</w:t>
      </w:r>
      <w:r w:rsidRPr="006161AC">
        <w:rPr>
          <w:rFonts w:asciiTheme="majorHAnsi" w:hAnsiTheme="majorHAnsi" w:cs="Courier New"/>
          <w:sz w:val="24"/>
          <w:szCs w:val="24"/>
        </w:rPr>
        <w:t xml:space="preserve"> </w:t>
      </w:r>
      <w:r w:rsidRPr="006161AC">
        <w:rPr>
          <w:rFonts w:asciiTheme="majorHAnsi" w:hAnsiTheme="majorHAnsi" w:cs="Courier New"/>
          <w:sz w:val="24"/>
          <w:szCs w:val="24"/>
        </w:rPr>
        <w:t xml:space="preserve">Gold ended the month at a COMEX price of </w:t>
      </w:r>
      <w:r w:rsidRPr="006161AC">
        <w:rPr>
          <w:rFonts w:asciiTheme="majorHAnsi" w:hAnsiTheme="majorHAnsi" w:cs="Courier New"/>
          <w:sz w:val="24"/>
          <w:szCs w:val="24"/>
        </w:rPr>
        <w:t>$1,254.20</w:t>
      </w:r>
      <w:r>
        <w:rPr>
          <w:rFonts w:asciiTheme="majorHAnsi" w:hAnsiTheme="majorHAnsi" w:cs="Courier New"/>
          <w:sz w:val="24"/>
          <w:szCs w:val="24"/>
        </w:rPr>
        <w:t>;</w:t>
      </w:r>
      <w:r w:rsidRPr="006161AC">
        <w:rPr>
          <w:rFonts w:asciiTheme="majorHAnsi" w:hAnsiTheme="majorHAnsi" w:cs="Courier New"/>
          <w:sz w:val="24"/>
          <w:szCs w:val="24"/>
        </w:rPr>
        <w:t xml:space="preserve"> silver</w:t>
      </w:r>
      <w:r>
        <w:rPr>
          <w:rFonts w:asciiTheme="majorHAnsi" w:hAnsiTheme="majorHAnsi" w:cs="Courier New"/>
          <w:sz w:val="24"/>
          <w:szCs w:val="24"/>
        </w:rPr>
        <w:t>,</w:t>
      </w:r>
      <w:r w:rsidRPr="006161AC">
        <w:rPr>
          <w:rFonts w:asciiTheme="majorHAnsi" w:hAnsiTheme="majorHAnsi" w:cs="Courier New"/>
          <w:sz w:val="24"/>
          <w:szCs w:val="24"/>
        </w:rPr>
        <w:t xml:space="preserve"> </w:t>
      </w:r>
      <w:r w:rsidRPr="006161AC">
        <w:rPr>
          <w:rFonts w:asciiTheme="majorHAnsi" w:hAnsiTheme="majorHAnsi" w:cs="Courier New"/>
          <w:sz w:val="24"/>
          <w:szCs w:val="24"/>
        </w:rPr>
        <w:t xml:space="preserve">at a COMEX price of </w:t>
      </w:r>
      <w:r w:rsidRPr="006161AC">
        <w:rPr>
          <w:rFonts w:asciiTheme="majorHAnsi" w:hAnsiTheme="majorHAnsi" w:cs="Courier New"/>
          <w:sz w:val="24"/>
          <w:szCs w:val="24"/>
        </w:rPr>
        <w:t xml:space="preserve">$16.06. The U.S. Dollar Index </w:t>
      </w:r>
      <w:r w:rsidRPr="006161AC">
        <w:rPr>
          <w:rFonts w:asciiTheme="majorHAnsi" w:hAnsiTheme="majorHAnsi" w:cs="Courier New"/>
          <w:sz w:val="24"/>
          <w:szCs w:val="24"/>
        </w:rPr>
        <w:t>gained 1.42% in June, concluding the month</w:t>
      </w:r>
      <w:r w:rsidRPr="006161AC">
        <w:rPr>
          <w:rFonts w:asciiTheme="majorHAnsi" w:hAnsiTheme="majorHAnsi" w:cs="Courier New"/>
          <w:sz w:val="24"/>
          <w:szCs w:val="24"/>
        </w:rPr>
        <w:t xml:space="preserve"> at 95.32</w:t>
      </w:r>
      <w:r w:rsidRPr="006161AC">
        <w:rPr>
          <w:rFonts w:asciiTheme="majorHAnsi" w:hAnsiTheme="majorHAnsi" w:cs="Courier New"/>
          <w:sz w:val="24"/>
          <w:szCs w:val="24"/>
        </w:rPr>
        <w:t>.</w:t>
      </w:r>
      <w:r w:rsidRPr="004C7421">
        <w:rPr>
          <w:rFonts w:asciiTheme="majorHAnsi" w:hAnsiTheme="majorHAnsi" w:cs="Courier New"/>
          <w:sz w:val="24"/>
          <w:szCs w:val="24"/>
          <w:vertAlign w:val="superscript"/>
        </w:rPr>
        <w:t>12,13</w:t>
      </w:r>
    </w:p>
    <w:p w:rsidR="00D56E9C" w:rsidRPr="006161AC" w:rsidRDefault="001F5FE3" w:rsidP="004C7421">
      <w:pPr>
        <w:pStyle w:val="PlainText"/>
        <w:spacing w:after="160" w:line="276" w:lineRule="auto"/>
        <w:jc w:val="both"/>
        <w:rPr>
          <w:rFonts w:asciiTheme="majorHAnsi" w:hAnsiTheme="majorHAnsi" w:cs="Courier New"/>
          <w:sz w:val="24"/>
          <w:szCs w:val="24"/>
        </w:rPr>
      </w:pPr>
      <w:r w:rsidRPr="006161AC">
        <w:rPr>
          <w:rFonts w:asciiTheme="majorHAnsi" w:hAnsiTheme="majorHAnsi" w:cs="Courier New"/>
          <w:sz w:val="24"/>
          <w:szCs w:val="24"/>
        </w:rPr>
        <w:t>Turning to the major ag futures, we see widespread losses, some deep. While cocoa added 0.73% in June</w:t>
      </w:r>
      <w:r>
        <w:rPr>
          <w:rFonts w:asciiTheme="majorHAnsi" w:hAnsiTheme="majorHAnsi" w:cs="Courier New"/>
          <w:sz w:val="24"/>
          <w:szCs w:val="24"/>
        </w:rPr>
        <w:t>,</w:t>
      </w:r>
      <w:r w:rsidRPr="006161AC">
        <w:rPr>
          <w:rFonts w:asciiTheme="majorHAnsi" w:hAnsiTheme="majorHAnsi" w:cs="Courier New"/>
          <w:sz w:val="24"/>
          <w:szCs w:val="24"/>
        </w:rPr>
        <w:t xml:space="preserve"> wheat fell 5.29%</w:t>
      </w:r>
      <w:r>
        <w:rPr>
          <w:rFonts w:asciiTheme="majorHAnsi" w:hAnsiTheme="majorHAnsi" w:cs="Courier New"/>
          <w:sz w:val="24"/>
          <w:szCs w:val="24"/>
        </w:rPr>
        <w:t>;</w:t>
      </w:r>
      <w:r w:rsidRPr="006161AC">
        <w:rPr>
          <w:rFonts w:asciiTheme="majorHAnsi" w:hAnsiTheme="majorHAnsi" w:cs="Courier New"/>
          <w:sz w:val="24"/>
          <w:szCs w:val="24"/>
        </w:rPr>
        <w:t xml:space="preserve"> sugar</w:t>
      </w:r>
      <w:r>
        <w:rPr>
          <w:rFonts w:asciiTheme="majorHAnsi" w:hAnsiTheme="majorHAnsi" w:cs="Courier New"/>
          <w:sz w:val="24"/>
          <w:szCs w:val="24"/>
        </w:rPr>
        <w:t>,</w:t>
      </w:r>
      <w:r w:rsidRPr="006161AC">
        <w:rPr>
          <w:rFonts w:asciiTheme="majorHAnsi" w:hAnsiTheme="majorHAnsi" w:cs="Courier New"/>
          <w:sz w:val="24"/>
          <w:szCs w:val="24"/>
        </w:rPr>
        <w:t xml:space="preserve"> 7.11%</w:t>
      </w:r>
      <w:r>
        <w:rPr>
          <w:rFonts w:asciiTheme="majorHAnsi" w:hAnsiTheme="majorHAnsi" w:cs="Courier New"/>
          <w:sz w:val="24"/>
          <w:szCs w:val="24"/>
        </w:rPr>
        <w:t>;</w:t>
      </w:r>
      <w:r w:rsidRPr="006161AC">
        <w:rPr>
          <w:rFonts w:asciiTheme="majorHAnsi" w:hAnsiTheme="majorHAnsi" w:cs="Courier New"/>
          <w:sz w:val="24"/>
          <w:szCs w:val="24"/>
        </w:rPr>
        <w:t xml:space="preserve"> cotton</w:t>
      </w:r>
      <w:r>
        <w:rPr>
          <w:rFonts w:asciiTheme="majorHAnsi" w:hAnsiTheme="majorHAnsi" w:cs="Courier New"/>
          <w:sz w:val="24"/>
          <w:szCs w:val="24"/>
        </w:rPr>
        <w:t>,</w:t>
      </w:r>
      <w:r w:rsidRPr="006161AC">
        <w:rPr>
          <w:rFonts w:asciiTheme="majorHAnsi" w:hAnsiTheme="majorHAnsi" w:cs="Courier New"/>
          <w:sz w:val="24"/>
          <w:szCs w:val="24"/>
        </w:rPr>
        <w:t xml:space="preserve"> 8.57%</w:t>
      </w:r>
      <w:r>
        <w:rPr>
          <w:rFonts w:asciiTheme="majorHAnsi" w:hAnsiTheme="majorHAnsi" w:cs="Courier New"/>
          <w:sz w:val="24"/>
          <w:szCs w:val="24"/>
        </w:rPr>
        <w:t>;</w:t>
      </w:r>
      <w:r w:rsidRPr="006161AC">
        <w:rPr>
          <w:rFonts w:asciiTheme="majorHAnsi" w:hAnsiTheme="majorHAnsi" w:cs="Courier New"/>
          <w:sz w:val="24"/>
          <w:szCs w:val="24"/>
        </w:rPr>
        <w:t xml:space="preserve"> coffee</w:t>
      </w:r>
      <w:r>
        <w:rPr>
          <w:rFonts w:asciiTheme="majorHAnsi" w:hAnsiTheme="majorHAnsi" w:cs="Courier New"/>
          <w:sz w:val="24"/>
          <w:szCs w:val="24"/>
        </w:rPr>
        <w:t>,</w:t>
      </w:r>
      <w:r w:rsidRPr="006161AC">
        <w:rPr>
          <w:rFonts w:asciiTheme="majorHAnsi" w:hAnsiTheme="majorHAnsi" w:cs="Courier New"/>
          <w:sz w:val="24"/>
          <w:szCs w:val="24"/>
        </w:rPr>
        <w:t xml:space="preserve"> 8.93%. Corn futures tumbled 11.05%</w:t>
      </w:r>
      <w:r>
        <w:rPr>
          <w:rFonts w:asciiTheme="majorHAnsi" w:hAnsiTheme="majorHAnsi" w:cs="Courier New"/>
          <w:sz w:val="24"/>
          <w:szCs w:val="24"/>
        </w:rPr>
        <w:t>;</w:t>
      </w:r>
      <w:r w:rsidRPr="006161AC">
        <w:rPr>
          <w:rFonts w:asciiTheme="majorHAnsi" w:hAnsiTheme="majorHAnsi" w:cs="Courier New"/>
          <w:sz w:val="24"/>
          <w:szCs w:val="24"/>
        </w:rPr>
        <w:t xml:space="preserve"> soybean futures</w:t>
      </w:r>
      <w:r>
        <w:rPr>
          <w:rFonts w:asciiTheme="majorHAnsi" w:hAnsiTheme="majorHAnsi" w:cs="Courier New"/>
          <w:sz w:val="24"/>
          <w:szCs w:val="24"/>
        </w:rPr>
        <w:t>,</w:t>
      </w:r>
      <w:r w:rsidRPr="006161AC">
        <w:rPr>
          <w:rFonts w:asciiTheme="majorHAnsi" w:hAnsiTheme="majorHAnsi" w:cs="Courier New"/>
          <w:sz w:val="24"/>
          <w:szCs w:val="24"/>
        </w:rPr>
        <w:t xml:space="preserve"> 15.87%.</w:t>
      </w:r>
      <w:r w:rsidRPr="004C7421">
        <w:rPr>
          <w:rFonts w:asciiTheme="majorHAnsi" w:hAnsiTheme="majorHAnsi" w:cs="Courier New"/>
          <w:sz w:val="24"/>
          <w:szCs w:val="24"/>
          <w:vertAlign w:val="superscript"/>
        </w:rPr>
        <w:t>12</w:t>
      </w:r>
      <w:r w:rsidRPr="006161AC">
        <w:rPr>
          <w:rFonts w:asciiTheme="majorHAnsi" w:hAnsiTheme="majorHAnsi" w:cs="Courier New"/>
          <w:sz w:val="24"/>
          <w:szCs w:val="24"/>
        </w:rPr>
        <w:t xml:space="preserve"> </w:t>
      </w:r>
    </w:p>
    <w:p w:rsidR="004C7421" w:rsidRPr="001148FC" w:rsidRDefault="001F5FE3" w:rsidP="004C7421">
      <w:pPr>
        <w:spacing w:line="276" w:lineRule="auto"/>
        <w:jc w:val="both"/>
        <w:rPr>
          <w:rFonts w:asciiTheme="majorHAnsi" w:hAnsiTheme="majorHAnsi"/>
          <w:sz w:val="24"/>
          <w:szCs w:val="24"/>
        </w:rPr>
      </w:pPr>
    </w:p>
    <w:p w:rsidR="00775662" w:rsidRPr="00D507AB" w:rsidRDefault="001F5FE3" w:rsidP="00FA7533">
      <w:pPr>
        <w:spacing w:line="276" w:lineRule="auto"/>
        <w:jc w:val="both"/>
        <w:rPr>
          <w:rFonts w:asciiTheme="majorHAnsi" w:hAnsiTheme="majorHAnsi"/>
          <w:b/>
          <w:sz w:val="28"/>
          <w:szCs w:val="24"/>
        </w:rPr>
      </w:pPr>
      <w:r w:rsidRPr="00775662">
        <w:rPr>
          <w:rFonts w:asciiTheme="majorHAnsi" w:hAnsiTheme="majorHAnsi"/>
          <w:b/>
          <w:color w:val="3E7BB6"/>
          <w:sz w:val="28"/>
          <w:szCs w:val="24"/>
        </w:rPr>
        <w:t>REAL ESTATE</w:t>
      </w:r>
    </w:p>
    <w:p w:rsidR="00775662" w:rsidRPr="002D3052" w:rsidRDefault="001F5FE3" w:rsidP="00FA7533">
      <w:pPr>
        <w:spacing w:line="276" w:lineRule="auto"/>
        <w:jc w:val="both"/>
        <w:rPr>
          <w:rStyle w:val="st"/>
          <w:rFonts w:asciiTheme="majorHAnsi" w:hAnsiTheme="majorHAnsi"/>
          <w:sz w:val="24"/>
          <w:szCs w:val="24"/>
        </w:rPr>
      </w:pPr>
      <w:r w:rsidRPr="00D507AB">
        <w:rPr>
          <w:rStyle w:val="st"/>
          <w:rFonts w:asciiTheme="majorHAnsi" w:hAnsiTheme="majorHAnsi"/>
          <w:sz w:val="24"/>
          <w:szCs w:val="24"/>
        </w:rPr>
        <w:t xml:space="preserve">Existing home sales, which account for the </w:t>
      </w:r>
      <w:r w:rsidRPr="00D507AB">
        <w:rPr>
          <w:rStyle w:val="st"/>
          <w:rFonts w:asciiTheme="majorHAnsi" w:hAnsiTheme="majorHAnsi"/>
          <w:sz w:val="24"/>
          <w:szCs w:val="24"/>
        </w:rPr>
        <w:t>clear majority</w:t>
      </w:r>
      <w:r w:rsidRPr="00D507AB">
        <w:rPr>
          <w:rStyle w:val="st"/>
          <w:rFonts w:asciiTheme="majorHAnsi" w:hAnsiTheme="majorHAnsi"/>
          <w:sz w:val="24"/>
          <w:szCs w:val="24"/>
        </w:rPr>
        <w:t xml:space="preserve"> of residential estate transactions, weakened 0.4% in May; this followed the (revised) 2.7% April retreat measured by the National Association of Realtors. </w:t>
      </w:r>
      <w:r w:rsidRPr="00D507AB">
        <w:rPr>
          <w:rStyle w:val="st"/>
          <w:rFonts w:asciiTheme="majorHAnsi" w:hAnsiTheme="majorHAnsi"/>
          <w:sz w:val="24"/>
          <w:szCs w:val="24"/>
        </w:rPr>
        <w:t xml:space="preserve">New home sales </w:t>
      </w:r>
      <w:r w:rsidRPr="002D3052">
        <w:rPr>
          <w:rStyle w:val="st"/>
          <w:rFonts w:asciiTheme="majorHAnsi" w:hAnsiTheme="majorHAnsi"/>
          <w:sz w:val="24"/>
          <w:szCs w:val="24"/>
        </w:rPr>
        <w:t>surprised to the upside in M</w:t>
      </w:r>
      <w:r w:rsidRPr="002D3052">
        <w:rPr>
          <w:rStyle w:val="st"/>
          <w:rFonts w:asciiTheme="majorHAnsi" w:hAnsiTheme="majorHAnsi"/>
          <w:sz w:val="24"/>
          <w:szCs w:val="24"/>
        </w:rPr>
        <w:t xml:space="preserve">ay, according to </w:t>
      </w:r>
      <w:r w:rsidRPr="002D3052">
        <w:rPr>
          <w:rStyle w:val="st"/>
          <w:rFonts w:asciiTheme="majorHAnsi" w:hAnsiTheme="majorHAnsi"/>
          <w:sz w:val="24"/>
          <w:szCs w:val="24"/>
        </w:rPr>
        <w:t>the Census Bureau; its</w:t>
      </w:r>
      <w:r w:rsidRPr="002D3052">
        <w:rPr>
          <w:rStyle w:val="st"/>
          <w:rFonts w:asciiTheme="majorHAnsi" w:hAnsiTheme="majorHAnsi"/>
          <w:sz w:val="24"/>
          <w:szCs w:val="24"/>
        </w:rPr>
        <w:t xml:space="preserve"> </w:t>
      </w:r>
      <w:r w:rsidRPr="002D3052">
        <w:rPr>
          <w:rStyle w:val="st"/>
          <w:rFonts w:asciiTheme="majorHAnsi" w:hAnsiTheme="majorHAnsi"/>
          <w:sz w:val="24"/>
          <w:szCs w:val="24"/>
        </w:rPr>
        <w:t xml:space="preserve">latest monthly </w:t>
      </w:r>
      <w:r w:rsidRPr="002D3052">
        <w:rPr>
          <w:rStyle w:val="st"/>
          <w:rFonts w:asciiTheme="majorHAnsi" w:hAnsiTheme="majorHAnsi"/>
          <w:sz w:val="24"/>
          <w:szCs w:val="24"/>
        </w:rPr>
        <w:t xml:space="preserve">report showed the pace of new home buying improving </w:t>
      </w:r>
      <w:r>
        <w:rPr>
          <w:rStyle w:val="st"/>
          <w:rFonts w:asciiTheme="majorHAnsi" w:hAnsiTheme="majorHAnsi"/>
          <w:sz w:val="24"/>
          <w:szCs w:val="24"/>
        </w:rPr>
        <w:t>6</w:t>
      </w:r>
      <w:r w:rsidRPr="002D3052">
        <w:rPr>
          <w:rStyle w:val="st"/>
          <w:rFonts w:asciiTheme="majorHAnsi" w:hAnsiTheme="majorHAnsi"/>
          <w:sz w:val="24"/>
          <w:szCs w:val="24"/>
        </w:rPr>
        <w:t>.</w:t>
      </w:r>
      <w:r>
        <w:rPr>
          <w:rStyle w:val="st"/>
          <w:rFonts w:asciiTheme="majorHAnsi" w:hAnsiTheme="majorHAnsi"/>
          <w:sz w:val="24"/>
          <w:szCs w:val="24"/>
        </w:rPr>
        <w:t>7</w:t>
      </w:r>
      <w:r w:rsidRPr="002D3052">
        <w:rPr>
          <w:rStyle w:val="st"/>
          <w:rFonts w:asciiTheme="majorHAnsi" w:hAnsiTheme="majorHAnsi"/>
          <w:sz w:val="24"/>
          <w:szCs w:val="24"/>
        </w:rPr>
        <w:t>%</w:t>
      </w:r>
      <w:r w:rsidRPr="002D3052">
        <w:rPr>
          <w:rStyle w:val="st"/>
          <w:rFonts w:asciiTheme="majorHAnsi" w:hAnsiTheme="majorHAnsi"/>
          <w:sz w:val="24"/>
          <w:szCs w:val="24"/>
        </w:rPr>
        <w:t xml:space="preserve">. </w:t>
      </w:r>
      <w:r w:rsidRPr="002D3052">
        <w:rPr>
          <w:rStyle w:val="st"/>
          <w:rFonts w:asciiTheme="majorHAnsi" w:hAnsiTheme="majorHAnsi"/>
          <w:sz w:val="24"/>
          <w:szCs w:val="24"/>
        </w:rPr>
        <w:t xml:space="preserve">One contributing factor may have been the ongoing decline in new home prices. At $313,000, the median price </w:t>
      </w:r>
      <w:r w:rsidRPr="002D3052">
        <w:rPr>
          <w:rStyle w:val="st"/>
          <w:rFonts w:asciiTheme="majorHAnsi" w:hAnsiTheme="majorHAnsi"/>
          <w:sz w:val="24"/>
        </w:rPr>
        <w:t>was down</w:t>
      </w:r>
      <w:r w:rsidRPr="002D3052">
        <w:rPr>
          <w:rStyle w:val="st"/>
          <w:rFonts w:asciiTheme="majorHAnsi" w:hAnsiTheme="majorHAnsi"/>
          <w:sz w:val="24"/>
        </w:rPr>
        <w:t xml:space="preserve"> 3.3% </w:t>
      </w:r>
      <w:r w:rsidRPr="002D3052">
        <w:rPr>
          <w:rStyle w:val="st"/>
          <w:rFonts w:asciiTheme="majorHAnsi" w:hAnsiTheme="majorHAnsi"/>
          <w:sz w:val="24"/>
        </w:rPr>
        <w:t xml:space="preserve">from where it was a </w:t>
      </w:r>
      <w:r w:rsidRPr="002D3052">
        <w:rPr>
          <w:rStyle w:val="st"/>
          <w:rFonts w:asciiTheme="majorHAnsi" w:hAnsiTheme="majorHAnsi"/>
          <w:sz w:val="24"/>
        </w:rPr>
        <w:t>y</w:t>
      </w:r>
      <w:r w:rsidRPr="002D3052">
        <w:rPr>
          <w:rStyle w:val="st"/>
          <w:rFonts w:asciiTheme="majorHAnsi" w:hAnsiTheme="majorHAnsi"/>
          <w:sz w:val="24"/>
        </w:rPr>
        <w:t>ear earlier.</w:t>
      </w:r>
      <w:r w:rsidRPr="002D3052">
        <w:rPr>
          <w:rStyle w:val="st"/>
          <w:rFonts w:asciiTheme="majorHAnsi" w:hAnsiTheme="majorHAnsi"/>
          <w:sz w:val="24"/>
          <w:szCs w:val="24"/>
          <w:vertAlign w:val="superscript"/>
        </w:rPr>
        <w:t>3,14</w:t>
      </w:r>
    </w:p>
    <w:p w:rsidR="00775662" w:rsidRPr="002D3052" w:rsidRDefault="001F5FE3" w:rsidP="00FA7533">
      <w:pPr>
        <w:spacing w:line="276" w:lineRule="auto"/>
        <w:jc w:val="both"/>
        <w:rPr>
          <w:rStyle w:val="st"/>
          <w:rFonts w:asciiTheme="majorHAnsi" w:hAnsiTheme="majorHAnsi"/>
          <w:sz w:val="24"/>
          <w:szCs w:val="24"/>
        </w:rPr>
      </w:pPr>
      <w:r w:rsidRPr="002D3052">
        <w:rPr>
          <w:rStyle w:val="st"/>
          <w:rFonts w:asciiTheme="majorHAnsi" w:hAnsiTheme="majorHAnsi"/>
          <w:sz w:val="24"/>
          <w:szCs w:val="24"/>
        </w:rPr>
        <w:t xml:space="preserve">A </w:t>
      </w:r>
      <w:r w:rsidRPr="002D3052">
        <w:rPr>
          <w:rStyle w:val="st"/>
          <w:rFonts w:asciiTheme="majorHAnsi" w:hAnsiTheme="majorHAnsi"/>
          <w:sz w:val="24"/>
          <w:szCs w:val="24"/>
        </w:rPr>
        <w:t>stabilization</w:t>
      </w:r>
      <w:r w:rsidRPr="002D3052">
        <w:rPr>
          <w:rStyle w:val="st"/>
          <w:rFonts w:asciiTheme="majorHAnsi" w:hAnsiTheme="majorHAnsi"/>
          <w:sz w:val="24"/>
          <w:szCs w:val="24"/>
        </w:rPr>
        <w:t xml:space="preserve"> in mortgage rates may have also </w:t>
      </w:r>
      <w:r w:rsidRPr="002D3052">
        <w:rPr>
          <w:rStyle w:val="st"/>
          <w:rFonts w:asciiTheme="majorHAnsi" w:hAnsiTheme="majorHAnsi"/>
          <w:sz w:val="24"/>
          <w:szCs w:val="24"/>
        </w:rPr>
        <w:t>spelled relief for</w:t>
      </w:r>
      <w:r w:rsidRPr="002D3052">
        <w:rPr>
          <w:rStyle w:val="st"/>
          <w:rFonts w:asciiTheme="majorHAnsi" w:hAnsiTheme="majorHAnsi"/>
          <w:sz w:val="24"/>
          <w:szCs w:val="24"/>
        </w:rPr>
        <w:t xml:space="preserve"> some buyers. </w:t>
      </w:r>
      <w:r w:rsidRPr="002D3052">
        <w:rPr>
          <w:rStyle w:val="st"/>
          <w:rFonts w:asciiTheme="majorHAnsi" w:hAnsiTheme="majorHAnsi"/>
          <w:sz w:val="24"/>
          <w:szCs w:val="24"/>
        </w:rPr>
        <w:t xml:space="preserve">Rates </w:t>
      </w:r>
      <w:r w:rsidRPr="002D3052">
        <w:rPr>
          <w:rStyle w:val="st"/>
          <w:rFonts w:asciiTheme="majorHAnsi" w:hAnsiTheme="majorHAnsi"/>
          <w:sz w:val="24"/>
          <w:szCs w:val="24"/>
        </w:rPr>
        <w:t>were practically unchanged between Freddie Mac’s May 31 and June 28 Primary Mortgage Market Surveys: average interest on the 30-year fixed merely went fr</w:t>
      </w:r>
      <w:r w:rsidRPr="002D3052">
        <w:rPr>
          <w:rStyle w:val="st"/>
          <w:rFonts w:asciiTheme="majorHAnsi" w:hAnsiTheme="majorHAnsi"/>
          <w:sz w:val="24"/>
          <w:szCs w:val="24"/>
        </w:rPr>
        <w:t>om</w:t>
      </w:r>
      <w:r w:rsidRPr="002D3052">
        <w:rPr>
          <w:rStyle w:val="st"/>
          <w:rFonts w:asciiTheme="majorHAnsi" w:hAnsiTheme="majorHAnsi"/>
          <w:sz w:val="24"/>
          <w:szCs w:val="24"/>
        </w:rPr>
        <w:t xml:space="preserve"> </w:t>
      </w:r>
      <w:r w:rsidRPr="002D3052">
        <w:rPr>
          <w:rStyle w:val="st"/>
          <w:rFonts w:asciiTheme="majorHAnsi" w:hAnsiTheme="majorHAnsi"/>
          <w:sz w:val="24"/>
          <w:szCs w:val="24"/>
        </w:rPr>
        <w:t xml:space="preserve">4.56% to 4.55%, while the mean rate on the 15-year fixed declined to 4.04% from 4.06%. </w:t>
      </w:r>
      <w:r w:rsidRPr="002D3052">
        <w:rPr>
          <w:rStyle w:val="st"/>
          <w:rFonts w:asciiTheme="majorHAnsi" w:hAnsiTheme="majorHAnsi"/>
          <w:sz w:val="24"/>
          <w:szCs w:val="24"/>
        </w:rPr>
        <w:t>The average rate on the 5/1-year ARM, influenced to greater degree by Federal Reserve policy, rose from 3.80% to 3.87%</w:t>
      </w:r>
      <w:r w:rsidRPr="002D3052">
        <w:rPr>
          <w:rStyle w:val="st"/>
          <w:rFonts w:asciiTheme="majorHAnsi" w:hAnsiTheme="majorHAnsi"/>
          <w:sz w:val="24"/>
          <w:szCs w:val="24"/>
        </w:rPr>
        <w:t>.</w:t>
      </w:r>
      <w:r w:rsidRPr="002D3052">
        <w:rPr>
          <w:rStyle w:val="st"/>
          <w:rFonts w:asciiTheme="majorHAnsi" w:hAnsiTheme="majorHAnsi"/>
          <w:sz w:val="24"/>
          <w:szCs w:val="24"/>
          <w:vertAlign w:val="superscript"/>
        </w:rPr>
        <w:t>15</w:t>
      </w:r>
    </w:p>
    <w:p w:rsidR="00775662" w:rsidRPr="00561FB7" w:rsidRDefault="001F5FE3" w:rsidP="00FA7533">
      <w:pPr>
        <w:spacing w:line="276" w:lineRule="auto"/>
        <w:jc w:val="both"/>
        <w:rPr>
          <w:rStyle w:val="st"/>
          <w:rFonts w:asciiTheme="majorHAnsi" w:hAnsiTheme="majorHAnsi"/>
          <w:sz w:val="24"/>
          <w:szCs w:val="24"/>
        </w:rPr>
      </w:pPr>
      <w:r w:rsidRPr="002D3052">
        <w:rPr>
          <w:rStyle w:val="st"/>
          <w:rFonts w:asciiTheme="majorHAnsi" w:hAnsiTheme="majorHAnsi"/>
          <w:sz w:val="24"/>
          <w:szCs w:val="24"/>
        </w:rPr>
        <w:t xml:space="preserve">The lagging indicator tracking home values across 20 metro markets – the S&amp;P CoreLogic </w:t>
      </w:r>
      <w:r w:rsidRPr="00561FB7">
        <w:rPr>
          <w:rStyle w:val="st"/>
          <w:rFonts w:asciiTheme="majorHAnsi" w:hAnsiTheme="majorHAnsi"/>
          <w:sz w:val="24"/>
          <w:szCs w:val="24"/>
        </w:rPr>
        <w:t xml:space="preserve">Case-Shiller index – showed a 6.4% yearly advance in U.S. home prices through April. The NAR’s forward-looking pending home sales index declined 0.5% for May, which was </w:t>
      </w:r>
      <w:r w:rsidRPr="00561FB7">
        <w:rPr>
          <w:rStyle w:val="st"/>
          <w:rFonts w:asciiTheme="majorHAnsi" w:hAnsiTheme="majorHAnsi"/>
          <w:sz w:val="24"/>
          <w:szCs w:val="24"/>
        </w:rPr>
        <w:t xml:space="preserve">at least less than the 1.3% dip it took </w:t>
      </w:r>
      <w:r w:rsidRPr="00561FB7">
        <w:rPr>
          <w:rStyle w:val="st"/>
          <w:rFonts w:asciiTheme="majorHAnsi" w:hAnsiTheme="majorHAnsi"/>
          <w:sz w:val="24"/>
          <w:szCs w:val="24"/>
        </w:rPr>
        <w:t>the prior month</w:t>
      </w:r>
      <w:r w:rsidRPr="00561FB7">
        <w:rPr>
          <w:rStyle w:val="st"/>
          <w:rFonts w:asciiTheme="majorHAnsi" w:hAnsiTheme="majorHAnsi"/>
          <w:sz w:val="24"/>
          <w:szCs w:val="24"/>
        </w:rPr>
        <w:t>.</w:t>
      </w:r>
      <w:r w:rsidRPr="00561FB7">
        <w:rPr>
          <w:rStyle w:val="st"/>
          <w:rFonts w:asciiTheme="majorHAnsi" w:hAnsiTheme="majorHAnsi"/>
          <w:sz w:val="24"/>
          <w:szCs w:val="24"/>
        </w:rPr>
        <w:t xml:space="preserve"> Builders broke ground on</w:t>
      </w:r>
      <w:r w:rsidRPr="00561FB7">
        <w:rPr>
          <w:rStyle w:val="st"/>
          <w:rFonts w:asciiTheme="majorHAnsi" w:hAnsiTheme="majorHAnsi"/>
          <w:sz w:val="24"/>
          <w:szCs w:val="24"/>
        </w:rPr>
        <w:t xml:space="preserve"> 5.0% more residential projects nationally in May than they had in April, the Census Bureau said; the rate of permits issued, however, decreased 4.6% in May.</w:t>
      </w:r>
      <w:r w:rsidRPr="00561FB7">
        <w:rPr>
          <w:rStyle w:val="st"/>
          <w:rFonts w:asciiTheme="majorHAnsi" w:hAnsiTheme="majorHAnsi"/>
          <w:sz w:val="24"/>
          <w:szCs w:val="24"/>
          <w:vertAlign w:val="superscript"/>
        </w:rPr>
        <w:t>3,4</w:t>
      </w:r>
      <w:r w:rsidRPr="00561FB7">
        <w:rPr>
          <w:rStyle w:val="st"/>
          <w:rFonts w:asciiTheme="majorHAnsi" w:hAnsiTheme="majorHAnsi"/>
          <w:sz w:val="24"/>
          <w:szCs w:val="24"/>
        </w:rPr>
        <w:t xml:space="preserve">  </w:t>
      </w:r>
    </w:p>
    <w:p w:rsidR="00E24345" w:rsidRDefault="001F5FE3" w:rsidP="00FA7533">
      <w:pPr>
        <w:spacing w:line="276" w:lineRule="auto"/>
        <w:rPr>
          <w:rStyle w:val="st"/>
          <w:rFonts w:asciiTheme="majorHAnsi" w:hAnsiTheme="majorHAnsi"/>
        </w:rPr>
      </w:pPr>
      <w:r>
        <w:rPr>
          <w:rStyle w:val="st"/>
          <w:rFonts w:asciiTheme="majorHAnsi" w:hAnsiTheme="majorHAnsi"/>
        </w:rPr>
        <w:t xml:space="preserve"> </w:t>
      </w:r>
    </w:p>
    <w:p w:rsidR="006D5A63" w:rsidRDefault="001F5FE3" w:rsidP="00FA7533">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Default="001F5FE3" w:rsidP="00FA7533">
      <w:pPr>
        <w:spacing w:line="276" w:lineRule="auto"/>
        <w:jc w:val="center"/>
        <w:rPr>
          <w:rStyle w:val="st"/>
          <w:rFonts w:asciiTheme="majorHAnsi" w:hAnsiTheme="majorHAnsi"/>
          <w:color w:val="E88E0A"/>
        </w:rPr>
      </w:pPr>
    </w:p>
    <w:p w:rsidR="001F5FE3" w:rsidRDefault="001F5FE3" w:rsidP="00FA7533">
      <w:pPr>
        <w:spacing w:line="276" w:lineRule="auto"/>
        <w:jc w:val="center"/>
        <w:rPr>
          <w:rStyle w:val="st"/>
          <w:rFonts w:asciiTheme="majorHAnsi" w:hAnsiTheme="majorHAnsi"/>
          <w:color w:val="3E7BB6"/>
        </w:rPr>
      </w:pPr>
    </w:p>
    <w:p w:rsidR="001F5FE3" w:rsidRDefault="001F5FE3" w:rsidP="00FA7533">
      <w:pPr>
        <w:spacing w:line="276" w:lineRule="auto"/>
        <w:jc w:val="center"/>
        <w:rPr>
          <w:rStyle w:val="st"/>
          <w:rFonts w:asciiTheme="majorHAnsi" w:hAnsiTheme="majorHAnsi"/>
          <w:color w:val="3E7BB6"/>
        </w:rPr>
      </w:pPr>
    </w:p>
    <w:p w:rsidR="001F5FE3" w:rsidRDefault="001F5FE3" w:rsidP="00FA7533">
      <w:pPr>
        <w:spacing w:line="276" w:lineRule="auto"/>
        <w:jc w:val="center"/>
        <w:rPr>
          <w:rStyle w:val="st"/>
          <w:rFonts w:asciiTheme="majorHAnsi" w:hAnsiTheme="majorHAnsi"/>
          <w:color w:val="3E7BB6"/>
        </w:rPr>
      </w:pPr>
    </w:p>
    <w:p w:rsidR="006D5A63" w:rsidRDefault="001F5FE3" w:rsidP="00FA7533">
      <w:pPr>
        <w:spacing w:line="276" w:lineRule="auto"/>
        <w:jc w:val="center"/>
        <w:rPr>
          <w:rStyle w:val="st"/>
          <w:rFonts w:asciiTheme="majorHAnsi" w:hAnsiTheme="majorHAnsi"/>
          <w:color w:val="E88E0A"/>
        </w:rPr>
      </w:pPr>
      <w:r w:rsidRPr="007C2813">
        <w:rPr>
          <w:rStyle w:val="st"/>
          <w:rFonts w:asciiTheme="majorHAnsi" w:hAnsiTheme="majorHAnsi"/>
          <w:color w:val="3E7BB6"/>
        </w:rPr>
        <w:lastRenderedPageBreak/>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1F5FE3" w:rsidP="00FA7533">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BA5F31" w:rsidRDefault="001F5FE3" w:rsidP="00FA7533">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b/>
          <w:i/>
          <w:sz w:val="28"/>
        </w:rPr>
        <w:t>T</w:t>
      </w:r>
      <w:r w:rsidRPr="00BA5F31">
        <w:rPr>
          <w:rStyle w:val="st"/>
          <w:rFonts w:asciiTheme="majorHAnsi" w:hAnsiTheme="majorHAnsi"/>
          <w:b/>
          <w:i/>
          <w:sz w:val="28"/>
        </w:rPr>
        <w:t>he cost</w:t>
      </w:r>
      <w:r w:rsidRPr="00BA5F31">
        <w:rPr>
          <w:rStyle w:val="st"/>
          <w:rFonts w:asciiTheme="majorHAnsi" w:hAnsiTheme="majorHAnsi"/>
          <w:b/>
          <w:i/>
          <w:sz w:val="28"/>
        </w:rPr>
        <w:t xml:space="preserve"> </w:t>
      </w:r>
      <w:r>
        <w:rPr>
          <w:rStyle w:val="st"/>
          <w:rFonts w:asciiTheme="majorHAnsi" w:hAnsiTheme="majorHAnsi"/>
          <w:b/>
          <w:i/>
          <w:sz w:val="28"/>
        </w:rPr>
        <w:t xml:space="preserve">of a private college </w:t>
      </w:r>
      <w:r w:rsidRPr="00BA5F31">
        <w:rPr>
          <w:rStyle w:val="st"/>
          <w:rFonts w:asciiTheme="majorHAnsi" w:hAnsiTheme="majorHAnsi"/>
          <w:b/>
          <w:i/>
          <w:sz w:val="28"/>
        </w:rPr>
        <w:t>may be e</w:t>
      </w:r>
      <w:r w:rsidRPr="00BA5F31">
        <w:rPr>
          <w:rStyle w:val="st"/>
          <w:rFonts w:asciiTheme="majorHAnsi" w:hAnsiTheme="majorHAnsi"/>
          <w:b/>
          <w:i/>
          <w:sz w:val="28"/>
        </w:rPr>
        <w:t>asi</w:t>
      </w:r>
      <w:r w:rsidRPr="00BA5F31">
        <w:rPr>
          <w:rStyle w:val="st"/>
          <w:rFonts w:asciiTheme="majorHAnsi" w:hAnsiTheme="majorHAnsi"/>
          <w:b/>
          <w:i/>
          <w:sz w:val="28"/>
        </w:rPr>
        <w:t xml:space="preserve">er </w:t>
      </w:r>
      <w:r w:rsidRPr="00BA5F31">
        <w:rPr>
          <w:rStyle w:val="st"/>
          <w:rFonts w:asciiTheme="majorHAnsi" w:hAnsiTheme="majorHAnsi"/>
          <w:b/>
          <w:i/>
          <w:sz w:val="28"/>
        </w:rPr>
        <w:t xml:space="preserve">to handle </w:t>
      </w:r>
      <w:r w:rsidRPr="00BA5F31">
        <w:rPr>
          <w:rStyle w:val="st"/>
          <w:rFonts w:asciiTheme="majorHAnsi" w:hAnsiTheme="majorHAnsi"/>
          <w:b/>
          <w:i/>
          <w:sz w:val="28"/>
        </w:rPr>
        <w:t xml:space="preserve">than you think. </w:t>
      </w:r>
      <w:r w:rsidRPr="00BA5F31">
        <w:rPr>
          <w:rStyle w:val="st"/>
          <w:rFonts w:asciiTheme="majorHAnsi" w:hAnsiTheme="majorHAnsi"/>
          <w:i/>
          <w:sz w:val="28"/>
        </w:rPr>
        <w:t>Grants to promote diversity of the student body and alumni-endowed scholarships may help. Also</w:t>
      </w:r>
      <w:r w:rsidRPr="00BA5F31">
        <w:rPr>
          <w:rStyle w:val="st"/>
          <w:rFonts w:asciiTheme="majorHAnsi" w:hAnsiTheme="majorHAnsi"/>
          <w:i/>
          <w:sz w:val="28"/>
        </w:rPr>
        <w:t xml:space="preserve">, a student’s financial need </w:t>
      </w:r>
      <w:r w:rsidRPr="00BA5F31">
        <w:rPr>
          <w:rStyle w:val="st"/>
          <w:rFonts w:asciiTheme="majorHAnsi" w:hAnsiTheme="majorHAnsi"/>
          <w:i/>
          <w:sz w:val="28"/>
        </w:rPr>
        <w:t>may prov</w:t>
      </w:r>
      <w:r w:rsidRPr="00BA5F31">
        <w:rPr>
          <w:rStyle w:val="st"/>
          <w:rFonts w:asciiTheme="majorHAnsi" w:hAnsiTheme="majorHAnsi"/>
          <w:i/>
          <w:sz w:val="28"/>
        </w:rPr>
        <w:t>e greater</w:t>
      </w:r>
      <w:r w:rsidRPr="00BA5F31">
        <w:rPr>
          <w:rStyle w:val="st"/>
          <w:rFonts w:asciiTheme="majorHAnsi" w:hAnsiTheme="majorHAnsi"/>
          <w:i/>
          <w:sz w:val="28"/>
        </w:rPr>
        <w:t xml:space="preserve"> </w:t>
      </w:r>
      <w:r w:rsidRPr="00BA5F31">
        <w:rPr>
          <w:rStyle w:val="st"/>
          <w:rFonts w:asciiTheme="majorHAnsi" w:hAnsiTheme="majorHAnsi"/>
          <w:i/>
          <w:sz w:val="28"/>
        </w:rPr>
        <w:t>at</w:t>
      </w:r>
      <w:r w:rsidRPr="00BA5F31">
        <w:rPr>
          <w:rStyle w:val="st"/>
          <w:rFonts w:asciiTheme="majorHAnsi" w:hAnsiTheme="majorHAnsi"/>
          <w:i/>
          <w:sz w:val="28"/>
        </w:rPr>
        <w:t xml:space="preserve"> a </w:t>
      </w:r>
      <w:r w:rsidRPr="00BA5F31">
        <w:rPr>
          <w:rStyle w:val="st"/>
          <w:rFonts w:asciiTheme="majorHAnsi" w:hAnsiTheme="majorHAnsi"/>
          <w:i/>
          <w:sz w:val="28"/>
        </w:rPr>
        <w:t xml:space="preserve">pricier </w:t>
      </w:r>
      <w:r w:rsidRPr="00BA5F31">
        <w:rPr>
          <w:rStyle w:val="st"/>
          <w:rFonts w:asciiTheme="majorHAnsi" w:hAnsiTheme="majorHAnsi"/>
          <w:i/>
          <w:sz w:val="28"/>
        </w:rPr>
        <w:t xml:space="preserve">college, </w:t>
      </w:r>
      <w:r w:rsidRPr="00BA5F31">
        <w:rPr>
          <w:rStyle w:val="st"/>
          <w:rFonts w:asciiTheme="majorHAnsi" w:hAnsiTheme="majorHAnsi"/>
          <w:i/>
          <w:sz w:val="28"/>
        </w:rPr>
        <w:t xml:space="preserve">and that </w:t>
      </w:r>
      <w:r w:rsidRPr="00BA5F31">
        <w:rPr>
          <w:rStyle w:val="st"/>
          <w:rFonts w:asciiTheme="majorHAnsi" w:hAnsiTheme="majorHAnsi"/>
          <w:i/>
          <w:sz w:val="28"/>
        </w:rPr>
        <w:t xml:space="preserve">demonstrated need </w:t>
      </w:r>
      <w:r w:rsidRPr="00BA5F31">
        <w:rPr>
          <w:rStyle w:val="st"/>
          <w:rFonts w:asciiTheme="majorHAnsi" w:hAnsiTheme="majorHAnsi"/>
          <w:i/>
          <w:sz w:val="28"/>
        </w:rPr>
        <w:t>may warrant</w:t>
      </w:r>
      <w:r w:rsidRPr="00BA5F31">
        <w:rPr>
          <w:rStyle w:val="st"/>
          <w:rFonts w:asciiTheme="majorHAnsi" w:hAnsiTheme="majorHAnsi"/>
          <w:i/>
          <w:sz w:val="28"/>
        </w:rPr>
        <w:t xml:space="preserve"> more financial aid</w:t>
      </w:r>
      <w:r w:rsidRPr="00BA5F31">
        <w:rPr>
          <w:rStyle w:val="st"/>
          <w:rFonts w:asciiTheme="majorHAnsi" w:hAnsiTheme="majorHAnsi"/>
          <w:i/>
          <w:sz w:val="28"/>
        </w:rPr>
        <w:t>.</w:t>
      </w:r>
    </w:p>
    <w:p w:rsidR="006D5A63" w:rsidRPr="00B2579B" w:rsidRDefault="001F5FE3" w:rsidP="00FA7533">
      <w:pPr>
        <w:spacing w:line="276" w:lineRule="auto"/>
        <w:jc w:val="center"/>
        <w:rPr>
          <w:rStyle w:val="st"/>
          <w:rFonts w:asciiTheme="majorHAnsi" w:hAnsiTheme="majorHAnsi"/>
          <w:i/>
          <w:color w:val="E88E0A"/>
        </w:rPr>
      </w:pPr>
    </w:p>
    <w:p w:rsidR="00E24345" w:rsidRDefault="001F5FE3" w:rsidP="00FA7533">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Default="001F5FE3" w:rsidP="00FA7533">
      <w:pPr>
        <w:spacing w:line="276" w:lineRule="auto"/>
        <w:rPr>
          <w:rFonts w:asciiTheme="majorHAnsi" w:hAnsiTheme="majorHAnsi"/>
          <w:b/>
          <w:color w:val="E88E0A"/>
          <w:spacing w:val="-2"/>
          <w:sz w:val="28"/>
        </w:rPr>
      </w:pPr>
      <w:r>
        <w:rPr>
          <w:rFonts w:asciiTheme="majorHAnsi" w:hAnsiTheme="majorHAnsi"/>
          <w:b/>
          <w:color w:val="E88E0A"/>
          <w:spacing w:val="-2"/>
          <w:sz w:val="28"/>
        </w:rPr>
        <w:t xml:space="preserve"> </w:t>
      </w:r>
    </w:p>
    <w:p w:rsidR="00775662" w:rsidRPr="00CE13AE" w:rsidRDefault="001F5FE3" w:rsidP="00FA7533">
      <w:pPr>
        <w:spacing w:line="276" w:lineRule="auto"/>
        <w:rPr>
          <w:rFonts w:asciiTheme="majorHAnsi" w:hAnsiTheme="majorHAnsi"/>
          <w:b/>
          <w:color w:val="3E7BB6"/>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4204D3" w:rsidRDefault="001F5FE3" w:rsidP="004204D3">
      <w:pPr>
        <w:spacing w:line="276" w:lineRule="auto"/>
        <w:jc w:val="both"/>
        <w:rPr>
          <w:rStyle w:val="st"/>
          <w:rFonts w:asciiTheme="majorHAnsi" w:hAnsiTheme="majorHAnsi"/>
        </w:rPr>
      </w:pPr>
      <w:r w:rsidRPr="004204D3">
        <w:rPr>
          <w:rStyle w:val="st"/>
          <w:rFonts w:asciiTheme="majorHAnsi" w:hAnsiTheme="majorHAnsi"/>
        </w:rPr>
        <w:t>The Nasdaq Composite set the pace for the big three in June, rising 0.92% to a June 29 close of 7,510.30. Finishing the month at 2,718.37, the S&amp;</w:t>
      </w:r>
      <w:r w:rsidRPr="004204D3">
        <w:rPr>
          <w:rStyle w:val="st"/>
          <w:rFonts w:asciiTheme="majorHAnsi" w:hAnsiTheme="majorHAnsi"/>
        </w:rPr>
        <w:t>P 500 improved 0.48% for the month; the Dow Jones Industrial Average lost 0.59% in June, falling to 24,271.41. Small caps moved north a bit: the Russell 2000 added 0.58% in June to settle at 1,643.07 as the trading month ended.</w:t>
      </w:r>
      <w:r w:rsidRPr="004204D3">
        <w:rPr>
          <w:rStyle w:val="st"/>
          <w:rFonts w:asciiTheme="majorHAnsi" w:hAnsiTheme="majorHAnsi"/>
        </w:rPr>
        <w:t xml:space="preserve"> Finally, the CBOE VIX rose 4</w:t>
      </w:r>
      <w:r w:rsidRPr="004204D3">
        <w:rPr>
          <w:rStyle w:val="st"/>
          <w:rFonts w:asciiTheme="majorHAnsi" w:hAnsiTheme="majorHAnsi"/>
        </w:rPr>
        <w:t>.28% for the month to 16.09.</w:t>
      </w:r>
      <w:r>
        <w:rPr>
          <w:rStyle w:val="st"/>
          <w:rFonts w:asciiTheme="majorHAnsi" w:hAnsiTheme="majorHAnsi"/>
        </w:rPr>
        <w:t xml:space="preserve"> Two Wall Street equity indices were up double-digits YTD as June concluded: the NYSE Arca Biotech</w:t>
      </w:r>
      <w:r>
        <w:rPr>
          <w:rStyle w:val="st"/>
          <w:rFonts w:asciiTheme="majorHAnsi" w:hAnsiTheme="majorHAnsi"/>
        </w:rPr>
        <w:t>nology Index</w:t>
      </w:r>
      <w:r>
        <w:rPr>
          <w:rStyle w:val="st"/>
          <w:rFonts w:asciiTheme="majorHAnsi" w:hAnsiTheme="majorHAnsi"/>
        </w:rPr>
        <w:t xml:space="preserve"> at +12.54% and the Nasdaq-100 at +10.07%.</w:t>
      </w:r>
      <w:r w:rsidRPr="004204D3">
        <w:rPr>
          <w:rStyle w:val="st"/>
          <w:rFonts w:asciiTheme="majorHAnsi" w:hAnsiTheme="majorHAnsi"/>
          <w:vertAlign w:val="superscript"/>
        </w:rPr>
        <w:t>1</w:t>
      </w:r>
      <w:r>
        <w:rPr>
          <w:rStyle w:val="st"/>
          <w:rFonts w:asciiTheme="majorHAnsi" w:hAnsiTheme="majorHAnsi"/>
          <w:vertAlign w:val="superscript"/>
        </w:rPr>
        <w:t>,16</w:t>
      </w:r>
    </w:p>
    <w:tbl>
      <w:tblPr>
        <w:tblW w:w="5040" w:type="pct"/>
        <w:tblLook w:val="04A0" w:firstRow="1" w:lastRow="0" w:firstColumn="1" w:lastColumn="0" w:noHBand="0" w:noVBand="1"/>
      </w:tblPr>
      <w:tblGrid>
        <w:gridCol w:w="1866"/>
        <w:gridCol w:w="1907"/>
        <w:gridCol w:w="1905"/>
        <w:gridCol w:w="1924"/>
        <w:gridCol w:w="1905"/>
      </w:tblGrid>
      <w:tr w:rsidR="00E343E6" w:rsidTr="00976A2A">
        <w:trPr>
          <w:trHeight w:val="390"/>
        </w:trPr>
        <w:tc>
          <w:tcPr>
            <w:tcW w:w="981"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 CHANGE</w:t>
            </w:r>
          </w:p>
        </w:tc>
        <w:tc>
          <w:tcPr>
            <w:tcW w:w="1003"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Y-T-D</w:t>
            </w:r>
          </w:p>
        </w:tc>
        <w:tc>
          <w:tcPr>
            <w:tcW w:w="1002"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1-YR CHG</w:t>
            </w:r>
          </w:p>
        </w:tc>
        <w:tc>
          <w:tcPr>
            <w:tcW w:w="1012"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5-YR AVG</w:t>
            </w:r>
          </w:p>
        </w:tc>
        <w:tc>
          <w:tcPr>
            <w:tcW w:w="1002"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10-YR AVG</w:t>
            </w:r>
          </w:p>
        </w:tc>
      </w:tr>
      <w:tr w:rsidR="00E343E6" w:rsidTr="00976A2A">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A53E65" w:rsidRPr="006D5A63" w:rsidRDefault="001F5FE3" w:rsidP="00A53E65">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-1.81</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14.02</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12.56</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11.38</w:t>
            </w:r>
          </w:p>
        </w:tc>
      </w:tr>
      <w:tr w:rsidR="00E343E6" w:rsidTr="00976A2A">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A53E65" w:rsidRPr="006D5A63" w:rsidRDefault="001F5FE3" w:rsidP="00A53E65">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8.79</w:t>
            </w:r>
          </w:p>
        </w:tc>
        <w:tc>
          <w:tcPr>
            <w:tcW w:w="1002" w:type="pct"/>
            <w:tcBorders>
              <w:top w:val="nil"/>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22.23</w:t>
            </w:r>
          </w:p>
        </w:tc>
        <w:tc>
          <w:tcPr>
            <w:tcW w:w="1012" w:type="pct"/>
            <w:tcBorders>
              <w:top w:val="nil"/>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24.14</w:t>
            </w:r>
          </w:p>
        </w:tc>
        <w:tc>
          <w:tcPr>
            <w:tcW w:w="1002" w:type="pct"/>
            <w:tcBorders>
              <w:top w:val="nil"/>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22.75</w:t>
            </w:r>
          </w:p>
        </w:tc>
      </w:tr>
      <w:tr w:rsidR="00E343E6" w:rsidTr="00976A2A">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A53E65" w:rsidRPr="006D5A63" w:rsidRDefault="001F5FE3" w:rsidP="00A53E65">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1.67</w:t>
            </w:r>
          </w:p>
        </w:tc>
        <w:tc>
          <w:tcPr>
            <w:tcW w:w="1002" w:type="pct"/>
            <w:tcBorders>
              <w:top w:val="nil"/>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12.34</w:t>
            </w:r>
          </w:p>
        </w:tc>
        <w:tc>
          <w:tcPr>
            <w:tcW w:w="1012" w:type="pct"/>
            <w:tcBorders>
              <w:top w:val="nil"/>
              <w:left w:val="nil"/>
              <w:bottom w:val="single" w:sz="4" w:space="0" w:color="A5A5A5"/>
              <w:right w:val="single" w:sz="4" w:space="0" w:color="A5A5A5"/>
            </w:tcBorders>
            <w:shd w:val="clear" w:color="000000" w:fill="F2F2F2"/>
            <w:vAlign w:val="center"/>
            <w:hideMark/>
          </w:tcPr>
          <w:p w:rsidR="00A53E65" w:rsidRPr="00781DE1" w:rsidRDefault="001F5FE3" w:rsidP="00A53E65">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13.85</w:t>
            </w:r>
          </w:p>
        </w:tc>
        <w:tc>
          <w:tcPr>
            <w:tcW w:w="1002" w:type="pct"/>
            <w:tcBorders>
              <w:top w:val="nil"/>
              <w:left w:val="nil"/>
              <w:bottom w:val="single" w:sz="4" w:space="0" w:color="A5A5A5"/>
              <w:right w:val="single" w:sz="4" w:space="0" w:color="A5A5A5"/>
            </w:tcBorders>
            <w:shd w:val="clear" w:color="000000" w:fill="F2F2F2"/>
            <w:vAlign w:val="center"/>
            <w:hideMark/>
          </w:tcPr>
          <w:p w:rsidR="00A53E65" w:rsidRPr="00781DE1" w:rsidRDefault="001F5FE3" w:rsidP="00946FFA">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11.2</w:t>
            </w:r>
            <w:r>
              <w:rPr>
                <w:rFonts w:ascii="Calibri Light" w:eastAsia="Times New Roman" w:hAnsi="Calibri Light" w:cs="Times New Roman"/>
                <w:szCs w:val="20"/>
              </w:rPr>
              <w:t>4</w:t>
            </w:r>
          </w:p>
        </w:tc>
      </w:tr>
      <w:tr w:rsidR="00E343E6" w:rsidTr="00976A2A">
        <w:trPr>
          <w:trHeight w:val="390"/>
        </w:trPr>
        <w:tc>
          <w:tcPr>
            <w:tcW w:w="981" w:type="pct"/>
            <w:tcBorders>
              <w:top w:val="nil"/>
              <w:left w:val="nil"/>
              <w:bottom w:val="nil"/>
              <w:right w:val="nil"/>
            </w:tcBorders>
            <w:shd w:val="clear" w:color="auto" w:fill="auto"/>
            <w:vAlign w:val="center"/>
            <w:hideMark/>
          </w:tcPr>
          <w:p w:rsidR="00406F88" w:rsidRPr="006D5A63" w:rsidRDefault="001F5FE3" w:rsidP="00976A2A">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406F88" w:rsidRPr="006D5A63" w:rsidRDefault="001F5FE3" w:rsidP="00976A2A">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406F88" w:rsidRPr="006D5A63" w:rsidRDefault="001F5FE3" w:rsidP="00976A2A">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406F88" w:rsidRPr="006D5A63" w:rsidRDefault="001F5FE3" w:rsidP="00976A2A">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406F88" w:rsidRPr="006D5A63" w:rsidRDefault="001F5FE3" w:rsidP="00976A2A">
            <w:pPr>
              <w:spacing w:after="0" w:line="276" w:lineRule="auto"/>
              <w:jc w:val="center"/>
              <w:rPr>
                <w:rFonts w:ascii="Times New Roman" w:eastAsia="Times New Roman" w:hAnsi="Times New Roman" w:cs="Times New Roman"/>
                <w:szCs w:val="20"/>
              </w:rPr>
            </w:pPr>
          </w:p>
        </w:tc>
      </w:tr>
      <w:tr w:rsidR="00E343E6" w:rsidTr="00976A2A">
        <w:trPr>
          <w:trHeight w:val="390"/>
        </w:trPr>
        <w:tc>
          <w:tcPr>
            <w:tcW w:w="981"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REAL YIELD</w:t>
            </w:r>
            <w:r>
              <w:rPr>
                <w:rFonts w:ascii="Calibri Light" w:eastAsia="Times New Roman" w:hAnsi="Calibri Light" w:cs="Times New Roman"/>
                <w:b/>
                <w:bCs/>
                <w:color w:val="3E7BB6"/>
                <w:szCs w:val="20"/>
              </w:rPr>
              <w:t xml:space="preserve"> (%)</w:t>
            </w:r>
          </w:p>
        </w:tc>
        <w:tc>
          <w:tcPr>
            <w:tcW w:w="1003"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Pr>
                <w:rFonts w:ascii="Calibri Light" w:eastAsia="Times New Roman" w:hAnsi="Calibri Light" w:cs="Times New Roman"/>
                <w:b/>
                <w:bCs/>
                <w:color w:val="3E7BB6"/>
                <w:szCs w:val="20"/>
              </w:rPr>
              <w:t>6/29</w:t>
            </w:r>
            <w:r w:rsidRPr="00CE13AE">
              <w:rPr>
                <w:rFonts w:ascii="Calibri Light" w:eastAsia="Times New Roman" w:hAnsi="Calibri Light" w:cs="Times New Roman"/>
                <w:b/>
                <w:bCs/>
                <w:color w:val="3E7BB6"/>
                <w:szCs w:val="20"/>
              </w:rPr>
              <w:t xml:space="preserve"> RATE</w:t>
            </w:r>
          </w:p>
        </w:tc>
        <w:tc>
          <w:tcPr>
            <w:tcW w:w="1002"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 YR AGO</w:t>
            </w:r>
          </w:p>
        </w:tc>
        <w:tc>
          <w:tcPr>
            <w:tcW w:w="1012"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 YRS AGO</w:t>
            </w:r>
          </w:p>
        </w:tc>
        <w:tc>
          <w:tcPr>
            <w:tcW w:w="1002" w:type="pct"/>
            <w:tcBorders>
              <w:top w:val="nil"/>
              <w:left w:val="nil"/>
              <w:bottom w:val="nil"/>
              <w:right w:val="nil"/>
            </w:tcBorders>
            <w:shd w:val="clear" w:color="auto" w:fill="auto"/>
            <w:vAlign w:val="center"/>
            <w:hideMark/>
          </w:tcPr>
          <w:p w:rsidR="00406F88" w:rsidRPr="00CE13AE" w:rsidRDefault="001F5FE3" w:rsidP="00976A2A">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 YRS AGO</w:t>
            </w:r>
          </w:p>
        </w:tc>
      </w:tr>
      <w:tr w:rsidR="00E343E6" w:rsidTr="00976A2A">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228B2" w:rsidRPr="006D5A63" w:rsidRDefault="001F5FE3" w:rsidP="000228B2">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0228B2" w:rsidRPr="00514BAC" w:rsidRDefault="001F5FE3" w:rsidP="000228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0.</w:t>
            </w:r>
            <w:r w:rsidRPr="00514BAC">
              <w:rPr>
                <w:rFonts w:ascii="Calibri Light" w:eastAsia="Times New Roman" w:hAnsi="Calibri Light" w:cs="Times New Roman"/>
                <w:szCs w:val="20"/>
              </w:rPr>
              <w:t>74</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228B2" w:rsidRPr="00514BAC" w:rsidRDefault="001F5FE3" w:rsidP="000228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0.</w:t>
            </w:r>
            <w:r w:rsidRPr="00514BAC">
              <w:rPr>
                <w:rFonts w:ascii="Calibri Light" w:eastAsia="Times New Roman" w:hAnsi="Calibri Light" w:cs="Times New Roman"/>
                <w:szCs w:val="20"/>
              </w:rPr>
              <w:t>55</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0228B2" w:rsidRPr="006D5A63" w:rsidRDefault="001F5FE3" w:rsidP="000228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0.</w:t>
            </w:r>
            <w:r w:rsidRPr="006D5A63">
              <w:rPr>
                <w:rFonts w:ascii="Calibri Light" w:eastAsia="Times New Roman" w:hAnsi="Calibri Light" w:cs="Times New Roman"/>
                <w:szCs w:val="20"/>
              </w:rPr>
              <w:t>53</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228B2" w:rsidRPr="006D5A63" w:rsidRDefault="001F5FE3" w:rsidP="000228B2">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w:t>
            </w:r>
            <w:r>
              <w:rPr>
                <w:rFonts w:ascii="Calibri Light" w:eastAsia="Times New Roman" w:hAnsi="Calibri Light" w:cs="Times New Roman"/>
                <w:szCs w:val="20"/>
              </w:rPr>
              <w:t>.</w:t>
            </w:r>
            <w:r w:rsidRPr="006D5A63">
              <w:rPr>
                <w:rFonts w:ascii="Calibri Light" w:eastAsia="Times New Roman" w:hAnsi="Calibri Light" w:cs="Times New Roman"/>
                <w:szCs w:val="20"/>
              </w:rPr>
              <w:t>48</w:t>
            </w:r>
          </w:p>
        </w:tc>
      </w:tr>
    </w:tbl>
    <w:p w:rsidR="00775662" w:rsidRDefault="001F5FE3" w:rsidP="00FA7533">
      <w:pPr>
        <w:spacing w:line="276" w:lineRule="auto"/>
        <w:rPr>
          <w:rStyle w:val="st"/>
          <w:rFonts w:asciiTheme="majorHAnsi" w:hAnsiTheme="majorHAnsi"/>
        </w:rPr>
      </w:pPr>
    </w:p>
    <w:p w:rsidR="00775662" w:rsidRPr="006D5A63" w:rsidRDefault="001F5FE3" w:rsidP="00FA7533">
      <w:pPr>
        <w:spacing w:line="276" w:lineRule="auto"/>
        <w:jc w:val="center"/>
        <w:rPr>
          <w:rFonts w:asciiTheme="majorHAnsi" w:hAnsiTheme="majorHAnsi"/>
          <w:color w:val="808080"/>
          <w:sz w:val="18"/>
          <w:szCs w:val="14"/>
        </w:rPr>
      </w:pPr>
      <w:r w:rsidRPr="006D5A63">
        <w:rPr>
          <w:rFonts w:asciiTheme="majorHAnsi" w:hAnsiTheme="majorHAnsi"/>
          <w:color w:val="808080"/>
          <w:sz w:val="18"/>
          <w:szCs w:val="14"/>
        </w:rPr>
        <w:t>Sources: wsj.com, bigcharts.com, treasury.</w:t>
      </w:r>
      <w:r w:rsidRPr="00BB0E36">
        <w:rPr>
          <w:rFonts w:asciiTheme="majorHAnsi" w:hAnsiTheme="majorHAnsi"/>
          <w:color w:val="808080" w:themeColor="background1" w:themeShade="80"/>
          <w:sz w:val="18"/>
          <w:szCs w:val="14"/>
        </w:rPr>
        <w:t>gov - 6/</w:t>
      </w:r>
      <w:r w:rsidRPr="00BB0E36">
        <w:rPr>
          <w:rFonts w:asciiTheme="majorHAnsi" w:hAnsiTheme="majorHAnsi"/>
          <w:color w:val="808080" w:themeColor="background1" w:themeShade="80"/>
          <w:sz w:val="18"/>
          <w:szCs w:val="14"/>
        </w:rPr>
        <w:t>2</w:t>
      </w:r>
      <w:r w:rsidRPr="001E2126">
        <w:rPr>
          <w:rFonts w:asciiTheme="majorHAnsi" w:hAnsiTheme="majorHAnsi"/>
          <w:color w:val="808080" w:themeColor="background1" w:themeShade="80"/>
          <w:sz w:val="18"/>
          <w:szCs w:val="14"/>
        </w:rPr>
        <w:t>9/</w:t>
      </w:r>
      <w:r w:rsidRPr="001E2126">
        <w:rPr>
          <w:rFonts w:asciiTheme="majorHAnsi" w:hAnsiTheme="majorHAnsi"/>
          <w:color w:val="808080" w:themeColor="background1" w:themeShade="80"/>
          <w:sz w:val="18"/>
          <w:szCs w:val="14"/>
        </w:rPr>
        <w:t>18</w:t>
      </w:r>
      <w:r w:rsidRPr="001E2126">
        <w:rPr>
          <w:rFonts w:asciiTheme="majorHAnsi" w:hAnsiTheme="majorHAnsi"/>
          <w:color w:val="808080" w:themeColor="background1" w:themeShade="80"/>
          <w:sz w:val="18"/>
          <w:szCs w:val="14"/>
          <w:vertAlign w:val="superscript"/>
        </w:rPr>
        <w:t>1</w:t>
      </w:r>
      <w:r w:rsidRPr="001E2126">
        <w:rPr>
          <w:rFonts w:asciiTheme="majorHAnsi" w:hAnsiTheme="majorHAnsi"/>
          <w:color w:val="808080" w:themeColor="background1" w:themeShade="80"/>
          <w:sz w:val="18"/>
          <w:szCs w:val="14"/>
          <w:vertAlign w:val="superscript"/>
        </w:rPr>
        <w:t>6,</w:t>
      </w:r>
      <w:r w:rsidRPr="001E2126">
        <w:rPr>
          <w:rFonts w:asciiTheme="majorHAnsi" w:hAnsiTheme="majorHAnsi"/>
          <w:color w:val="808080" w:themeColor="background1" w:themeShade="80"/>
          <w:sz w:val="18"/>
          <w:szCs w:val="14"/>
          <w:vertAlign w:val="superscript"/>
        </w:rPr>
        <w:t>1</w:t>
      </w:r>
      <w:r w:rsidRPr="001E2126">
        <w:rPr>
          <w:rFonts w:asciiTheme="majorHAnsi" w:hAnsiTheme="majorHAnsi"/>
          <w:color w:val="808080" w:themeColor="background1" w:themeShade="80"/>
          <w:sz w:val="18"/>
          <w:szCs w:val="14"/>
          <w:vertAlign w:val="superscript"/>
        </w:rPr>
        <w:t>7,</w:t>
      </w:r>
      <w:r w:rsidRPr="001E2126">
        <w:rPr>
          <w:rFonts w:asciiTheme="majorHAnsi" w:hAnsiTheme="majorHAnsi"/>
          <w:color w:val="808080" w:themeColor="background1" w:themeShade="80"/>
          <w:sz w:val="18"/>
          <w:szCs w:val="14"/>
          <w:vertAlign w:val="superscript"/>
        </w:rPr>
        <w:t>1</w:t>
      </w:r>
      <w:r w:rsidRPr="001E2126">
        <w:rPr>
          <w:rFonts w:asciiTheme="majorHAnsi" w:hAnsiTheme="majorHAnsi"/>
          <w:color w:val="808080" w:themeColor="background1" w:themeShade="80"/>
          <w:sz w:val="18"/>
          <w:szCs w:val="14"/>
          <w:vertAlign w:val="superscript"/>
        </w:rPr>
        <w:t>8</w:t>
      </w:r>
      <w:r w:rsidRPr="001E2126">
        <w:rPr>
          <w:rFonts w:asciiTheme="majorHAnsi" w:hAnsiTheme="majorHAnsi"/>
          <w:color w:val="808080" w:themeColor="background1" w:themeShade="80"/>
          <w:sz w:val="18"/>
          <w:szCs w:val="14"/>
          <w:vertAlign w:val="superscript"/>
        </w:rPr>
        <w:t>,19</w:t>
      </w:r>
    </w:p>
    <w:p w:rsidR="00775662" w:rsidRPr="006D5A63" w:rsidRDefault="001F5FE3" w:rsidP="00FA7533">
      <w:pPr>
        <w:spacing w:line="276" w:lineRule="auto"/>
        <w:jc w:val="center"/>
        <w:rPr>
          <w:rFonts w:asciiTheme="majorHAnsi" w:hAnsiTheme="majorHAnsi" w:cs="Verdana"/>
          <w:iCs/>
          <w:color w:val="808080"/>
          <w:spacing w:val="-4"/>
          <w:sz w:val="18"/>
          <w:szCs w:val="14"/>
        </w:rPr>
      </w:pPr>
      <w:r w:rsidRPr="006D5A63">
        <w:rPr>
          <w:rFonts w:asciiTheme="majorHAnsi" w:hAnsiTheme="majorHAnsi" w:cs="Verdana"/>
          <w:iCs/>
          <w:color w:val="808080"/>
          <w:spacing w:val="-4"/>
          <w:sz w:val="18"/>
          <w:szCs w:val="14"/>
        </w:rPr>
        <w:t xml:space="preserve">Indices are unmanaged, </w:t>
      </w:r>
      <w:r w:rsidRPr="006D5A63">
        <w:rPr>
          <w:rFonts w:asciiTheme="majorHAnsi" w:hAnsiTheme="majorHAnsi" w:cs="Verdana"/>
          <w:iCs/>
          <w:color w:val="808080"/>
          <w:spacing w:val="-4"/>
          <w:sz w:val="18"/>
          <w:szCs w:val="14"/>
        </w:rPr>
        <w:t>do not incur fees or expenses, and cannot be invested into directly. These returns do not include dividends. 10-year TIPS real yield = projected return at maturity given expected inflation.</w:t>
      </w:r>
    </w:p>
    <w:p w:rsidR="00775662" w:rsidRPr="00552AA9" w:rsidRDefault="001F5FE3" w:rsidP="00FA7533">
      <w:pPr>
        <w:spacing w:line="276" w:lineRule="auto"/>
        <w:jc w:val="both"/>
        <w:rPr>
          <w:rFonts w:asciiTheme="majorHAnsi" w:hAnsiTheme="majorHAnsi"/>
          <w:color w:val="000000" w:themeColor="text1"/>
          <w:spacing w:val="-2"/>
        </w:rPr>
      </w:pPr>
      <w:r w:rsidRPr="00A42593">
        <w:rPr>
          <w:rStyle w:val="st"/>
          <w:rFonts w:asciiTheme="majorHAnsi" w:hAnsiTheme="majorHAnsi"/>
        </w:rPr>
        <w:lastRenderedPageBreak/>
        <w:t>The first half of 2018 is now history.</w:t>
      </w:r>
      <w:r w:rsidRPr="00A42593">
        <w:rPr>
          <w:rStyle w:val="st"/>
          <w:rFonts w:asciiTheme="majorHAnsi" w:hAnsiTheme="majorHAnsi"/>
        </w:rPr>
        <w:t xml:space="preserve"> Remember all the pundits who predicted a single-digit return for the S&amp;P 500 this year? They may be right. </w:t>
      </w:r>
      <w:r w:rsidRPr="00A42593">
        <w:rPr>
          <w:rStyle w:val="st"/>
          <w:rFonts w:asciiTheme="majorHAnsi" w:hAnsiTheme="majorHAnsi"/>
        </w:rPr>
        <w:t xml:space="preserve">The S&amp;P has largely moved sideways, and </w:t>
      </w:r>
      <w:r>
        <w:rPr>
          <w:rStyle w:val="st"/>
          <w:rFonts w:asciiTheme="majorHAnsi" w:hAnsiTheme="majorHAnsi"/>
        </w:rPr>
        <w:t>it may keep doing so in the</w:t>
      </w:r>
      <w:r w:rsidRPr="00A42593">
        <w:rPr>
          <w:rStyle w:val="st"/>
          <w:rFonts w:asciiTheme="majorHAnsi" w:hAnsiTheme="majorHAnsi"/>
        </w:rPr>
        <w:t xml:space="preserve"> third and fourth quarters. </w:t>
      </w:r>
      <w:r w:rsidRPr="00A42593">
        <w:rPr>
          <w:rStyle w:val="st"/>
          <w:rFonts w:asciiTheme="majorHAnsi" w:hAnsiTheme="majorHAnsi"/>
        </w:rPr>
        <w:t>America is</w:t>
      </w:r>
      <w:r w:rsidRPr="00A42593">
        <w:rPr>
          <w:rStyle w:val="st"/>
          <w:rFonts w:asciiTheme="majorHAnsi" w:hAnsiTheme="majorHAnsi"/>
        </w:rPr>
        <w:t xml:space="preserve"> witnessing healthy economic growth, </w:t>
      </w:r>
      <w:r>
        <w:rPr>
          <w:rStyle w:val="st"/>
          <w:rFonts w:asciiTheme="majorHAnsi" w:hAnsiTheme="majorHAnsi"/>
        </w:rPr>
        <w:t xml:space="preserve">which </w:t>
      </w:r>
      <w:r>
        <w:rPr>
          <w:rStyle w:val="st"/>
          <w:rFonts w:asciiTheme="majorHAnsi" w:hAnsiTheme="majorHAnsi"/>
        </w:rPr>
        <w:t>sh</w:t>
      </w:r>
      <w:r w:rsidRPr="00A42593">
        <w:rPr>
          <w:rStyle w:val="st"/>
          <w:rFonts w:asciiTheme="majorHAnsi" w:hAnsiTheme="majorHAnsi"/>
        </w:rPr>
        <w:t xml:space="preserve">ould continue to promote strong corporate earnings </w:t>
      </w:r>
      <w:r>
        <w:rPr>
          <w:rStyle w:val="st"/>
          <w:rFonts w:asciiTheme="majorHAnsi" w:hAnsiTheme="majorHAnsi"/>
        </w:rPr>
        <w:t xml:space="preserve">– but </w:t>
      </w:r>
      <w:r>
        <w:rPr>
          <w:rStyle w:val="st"/>
          <w:rFonts w:asciiTheme="majorHAnsi" w:hAnsiTheme="majorHAnsi"/>
        </w:rPr>
        <w:t xml:space="preserve">investors have </w:t>
      </w:r>
      <w:r w:rsidRPr="00A42593">
        <w:rPr>
          <w:rStyle w:val="st"/>
          <w:rFonts w:asciiTheme="majorHAnsi" w:hAnsiTheme="majorHAnsi"/>
        </w:rPr>
        <w:t xml:space="preserve">tariffs </w:t>
      </w:r>
      <w:r>
        <w:rPr>
          <w:rStyle w:val="st"/>
          <w:rFonts w:asciiTheme="majorHAnsi" w:hAnsiTheme="majorHAnsi"/>
        </w:rPr>
        <w:t>on their mind</w:t>
      </w:r>
      <w:r w:rsidRPr="00A42593">
        <w:rPr>
          <w:rStyle w:val="st"/>
          <w:rFonts w:asciiTheme="majorHAnsi" w:hAnsiTheme="majorHAnsi"/>
        </w:rPr>
        <w:t>,</w:t>
      </w:r>
      <w:r w:rsidRPr="00A42593">
        <w:rPr>
          <w:rStyle w:val="st"/>
          <w:rFonts w:asciiTheme="majorHAnsi" w:hAnsiTheme="majorHAnsi"/>
        </w:rPr>
        <w:t xml:space="preserve"> </w:t>
      </w:r>
      <w:r>
        <w:rPr>
          <w:rStyle w:val="st"/>
          <w:rFonts w:asciiTheme="majorHAnsi" w:hAnsiTheme="majorHAnsi"/>
        </w:rPr>
        <w:t>the yield cur</w:t>
      </w:r>
      <w:r>
        <w:rPr>
          <w:rStyle w:val="st"/>
          <w:rFonts w:asciiTheme="majorHAnsi" w:hAnsiTheme="majorHAnsi"/>
        </w:rPr>
        <w:t>v</w:t>
      </w:r>
      <w:r>
        <w:rPr>
          <w:rStyle w:val="st"/>
          <w:rFonts w:asciiTheme="majorHAnsi" w:hAnsiTheme="majorHAnsi"/>
        </w:rPr>
        <w:t>e</w:t>
      </w:r>
      <w:r>
        <w:rPr>
          <w:rStyle w:val="st"/>
          <w:rFonts w:asciiTheme="majorHAnsi" w:hAnsiTheme="majorHAnsi"/>
        </w:rPr>
        <w:t xml:space="preserve"> has been flattening, and </w:t>
      </w:r>
      <w:r w:rsidRPr="00A42593">
        <w:rPr>
          <w:rStyle w:val="st"/>
          <w:rFonts w:asciiTheme="majorHAnsi" w:hAnsiTheme="majorHAnsi"/>
        </w:rPr>
        <w:t xml:space="preserve">the Federal Reserve continues to </w:t>
      </w:r>
      <w:r>
        <w:rPr>
          <w:rStyle w:val="st"/>
          <w:rFonts w:asciiTheme="majorHAnsi" w:hAnsiTheme="majorHAnsi"/>
        </w:rPr>
        <w:t>make borrowing more expensive</w:t>
      </w:r>
      <w:r w:rsidRPr="00A42593">
        <w:rPr>
          <w:rStyle w:val="st"/>
          <w:rFonts w:asciiTheme="majorHAnsi" w:hAnsiTheme="majorHAnsi"/>
        </w:rPr>
        <w:t>.</w:t>
      </w:r>
      <w:r>
        <w:rPr>
          <w:rStyle w:val="st"/>
          <w:rFonts w:asciiTheme="majorHAnsi" w:hAnsiTheme="majorHAnsi"/>
        </w:rPr>
        <w:t xml:space="preserve"> An</w:t>
      </w:r>
      <w:r w:rsidRPr="008445A3">
        <w:rPr>
          <w:rStyle w:val="st"/>
          <w:rFonts w:asciiTheme="majorHAnsi" w:hAnsiTheme="majorHAnsi"/>
        </w:rPr>
        <w:t>other sign of reduced bullishness: th</w:t>
      </w:r>
      <w:r w:rsidRPr="00B1369D">
        <w:rPr>
          <w:rStyle w:val="st"/>
          <w:rFonts w:asciiTheme="majorHAnsi" w:hAnsiTheme="majorHAnsi"/>
        </w:rPr>
        <w:t>e unusual lengt</w:t>
      </w:r>
      <w:r w:rsidRPr="00B1369D">
        <w:rPr>
          <w:rStyle w:val="st"/>
          <w:rFonts w:asciiTheme="majorHAnsi" w:hAnsiTheme="majorHAnsi"/>
        </w:rPr>
        <w:t xml:space="preserve">h of this current stock market correction. </w:t>
      </w:r>
      <w:r>
        <w:rPr>
          <w:rStyle w:val="st"/>
          <w:rFonts w:asciiTheme="majorHAnsi" w:hAnsiTheme="majorHAnsi"/>
        </w:rPr>
        <w:t>Wall Street</w:t>
      </w:r>
      <w:r w:rsidRPr="00B1369D">
        <w:rPr>
          <w:rStyle w:val="st"/>
          <w:rFonts w:asciiTheme="majorHAnsi" w:hAnsiTheme="majorHAnsi"/>
        </w:rPr>
        <w:t xml:space="preserve"> ha</w:t>
      </w:r>
      <w:r>
        <w:rPr>
          <w:rStyle w:val="st"/>
          <w:rFonts w:asciiTheme="majorHAnsi" w:hAnsiTheme="majorHAnsi"/>
        </w:rPr>
        <w:t>s</w:t>
      </w:r>
      <w:r w:rsidRPr="00B1369D">
        <w:rPr>
          <w:rStyle w:val="st"/>
          <w:rFonts w:asciiTheme="majorHAnsi" w:hAnsiTheme="majorHAnsi"/>
        </w:rPr>
        <w:t xml:space="preserve"> not seen a</w:t>
      </w:r>
      <w:r w:rsidRPr="00B1369D">
        <w:rPr>
          <w:rStyle w:val="st"/>
          <w:rFonts w:asciiTheme="majorHAnsi" w:hAnsiTheme="majorHAnsi"/>
        </w:rPr>
        <w:t xml:space="preserve"> correction th</w:t>
      </w:r>
      <w:r w:rsidRPr="00B1369D">
        <w:rPr>
          <w:rStyle w:val="st"/>
          <w:rFonts w:asciiTheme="majorHAnsi" w:hAnsiTheme="majorHAnsi"/>
        </w:rPr>
        <w:t>is</w:t>
      </w:r>
      <w:r w:rsidRPr="00B1369D">
        <w:rPr>
          <w:rStyle w:val="st"/>
          <w:rFonts w:asciiTheme="majorHAnsi" w:hAnsiTheme="majorHAnsi"/>
        </w:rPr>
        <w:t xml:space="preserve"> long </w:t>
      </w:r>
      <w:r w:rsidRPr="00B1369D">
        <w:rPr>
          <w:rStyle w:val="st"/>
          <w:rFonts w:asciiTheme="majorHAnsi" w:hAnsiTheme="majorHAnsi"/>
        </w:rPr>
        <w:t>s</w:t>
      </w:r>
      <w:r w:rsidRPr="00B1369D">
        <w:rPr>
          <w:rStyle w:val="st"/>
          <w:rFonts w:asciiTheme="majorHAnsi" w:hAnsiTheme="majorHAnsi"/>
        </w:rPr>
        <w:t>in</w:t>
      </w:r>
      <w:r w:rsidRPr="00B1369D">
        <w:rPr>
          <w:rStyle w:val="st"/>
          <w:rFonts w:asciiTheme="majorHAnsi" w:hAnsiTheme="majorHAnsi"/>
        </w:rPr>
        <w:t>ce</w:t>
      </w:r>
      <w:r w:rsidRPr="00B1369D">
        <w:rPr>
          <w:rStyle w:val="st"/>
          <w:rFonts w:asciiTheme="majorHAnsi" w:hAnsiTheme="majorHAnsi"/>
        </w:rPr>
        <w:t xml:space="preserve"> </w:t>
      </w:r>
      <w:r w:rsidRPr="00B1369D">
        <w:rPr>
          <w:rStyle w:val="st"/>
          <w:rFonts w:asciiTheme="majorHAnsi" w:hAnsiTheme="majorHAnsi"/>
        </w:rPr>
        <w:t>2008</w:t>
      </w:r>
      <w:r w:rsidRPr="00B1369D">
        <w:rPr>
          <w:rStyle w:val="st"/>
          <w:rFonts w:asciiTheme="majorHAnsi" w:hAnsiTheme="majorHAnsi"/>
        </w:rPr>
        <w:t>, and if it persists into mid-July (which appears likely), it will be</w:t>
      </w:r>
      <w:r>
        <w:rPr>
          <w:rStyle w:val="st"/>
          <w:rFonts w:asciiTheme="majorHAnsi" w:hAnsiTheme="majorHAnsi"/>
        </w:rPr>
        <w:t>come</w:t>
      </w:r>
      <w:r w:rsidRPr="00B1369D">
        <w:rPr>
          <w:rStyle w:val="st"/>
          <w:rFonts w:asciiTheme="majorHAnsi" w:hAnsiTheme="majorHAnsi"/>
        </w:rPr>
        <w:t xml:space="preserve"> the longest correction in 34 years.</w:t>
      </w:r>
      <w:r w:rsidRPr="00B1369D">
        <w:rPr>
          <w:rStyle w:val="st"/>
          <w:rFonts w:asciiTheme="majorHAnsi" w:hAnsiTheme="majorHAnsi"/>
        </w:rPr>
        <w:t xml:space="preserve"> Since the end of January, the S&amp;P has simply </w:t>
      </w:r>
      <w:r w:rsidRPr="00B1369D">
        <w:rPr>
          <w:rStyle w:val="st"/>
          <w:rFonts w:asciiTheme="majorHAnsi" w:hAnsiTheme="majorHAnsi"/>
        </w:rPr>
        <w:t>drifted within a 10% range. A breakout in the second half</w:t>
      </w:r>
      <w:r w:rsidRPr="00B1369D">
        <w:rPr>
          <w:rStyle w:val="st"/>
          <w:rFonts w:asciiTheme="majorHAnsi" w:hAnsiTheme="majorHAnsi"/>
        </w:rPr>
        <w:t xml:space="preserve"> could occur, but a cautionary mood does seem to be in place as well as a percep</w:t>
      </w:r>
      <w:r w:rsidRPr="001E2126">
        <w:rPr>
          <w:rStyle w:val="st"/>
          <w:rFonts w:asciiTheme="majorHAnsi" w:hAnsiTheme="majorHAnsi"/>
        </w:rPr>
        <w:t xml:space="preserve">tion that this bull market is entering its last phase. Perhaps the mood will lift and the market will rally, but bulls </w:t>
      </w:r>
      <w:r w:rsidRPr="001E2126">
        <w:rPr>
          <w:rStyle w:val="st"/>
          <w:rFonts w:asciiTheme="majorHAnsi" w:hAnsiTheme="majorHAnsi"/>
        </w:rPr>
        <w:t xml:space="preserve">could simply remain on the sidelines while the market keeps </w:t>
      </w:r>
      <w:r>
        <w:rPr>
          <w:rStyle w:val="st"/>
          <w:rFonts w:asciiTheme="majorHAnsi" w:hAnsiTheme="majorHAnsi"/>
        </w:rPr>
        <w:t>heading</w:t>
      </w:r>
      <w:r w:rsidRPr="001E2126">
        <w:rPr>
          <w:rStyle w:val="st"/>
          <w:rFonts w:asciiTheme="majorHAnsi" w:hAnsiTheme="majorHAnsi"/>
        </w:rPr>
        <w:t xml:space="preserve"> sideways toward 2019.</w:t>
      </w:r>
      <w:r w:rsidRPr="001E2126">
        <w:rPr>
          <w:rStyle w:val="st"/>
          <w:rFonts w:asciiTheme="majorHAnsi" w:hAnsiTheme="majorHAnsi"/>
          <w:vertAlign w:val="superscript"/>
        </w:rPr>
        <w:t>20</w:t>
      </w:r>
      <w:r>
        <w:rPr>
          <w:rStyle w:val="st"/>
          <w:rFonts w:asciiTheme="majorHAnsi" w:hAnsiTheme="majorHAnsi"/>
          <w:color w:val="002060"/>
        </w:rPr>
        <w:t xml:space="preserve"> </w:t>
      </w:r>
    </w:p>
    <w:p w:rsidR="00552AA9" w:rsidRDefault="001F5FE3" w:rsidP="00FA7533">
      <w:pPr>
        <w:spacing w:line="276" w:lineRule="auto"/>
        <w:rPr>
          <w:rFonts w:asciiTheme="majorHAnsi" w:hAnsiTheme="majorHAnsi"/>
          <w:color w:val="808080"/>
          <w:spacing w:val="-2"/>
        </w:rPr>
      </w:pPr>
      <w:r>
        <w:rPr>
          <w:rFonts w:asciiTheme="majorHAnsi" w:hAnsiTheme="majorHAnsi"/>
          <w:color w:val="808080"/>
          <w:spacing w:val="-2"/>
        </w:rPr>
        <w:t xml:space="preserve"> </w:t>
      </w:r>
    </w:p>
    <w:p w:rsidR="006D5A63" w:rsidRDefault="001F5FE3" w:rsidP="00FA7533">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Default="001F5FE3" w:rsidP="00FA7533">
      <w:pPr>
        <w:spacing w:line="276" w:lineRule="auto"/>
        <w:jc w:val="center"/>
        <w:rPr>
          <w:rStyle w:val="st"/>
          <w:rFonts w:asciiTheme="majorHAnsi" w:hAnsiTheme="majorHAnsi"/>
          <w:color w:val="E88E0A"/>
        </w:rPr>
      </w:pPr>
    </w:p>
    <w:p w:rsidR="006D5A63" w:rsidRPr="00CE13AE" w:rsidRDefault="001F5FE3" w:rsidP="00FA7533">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Default="001F5FE3" w:rsidP="00FA7533">
      <w:pPr>
        <w:spacing w:line="276" w:lineRule="auto"/>
        <w:jc w:val="center"/>
        <w:rPr>
          <w:rStyle w:val="st"/>
          <w:rFonts w:asciiTheme="majorHAnsi" w:hAnsiTheme="majorHAnsi"/>
        </w:rPr>
      </w:pPr>
    </w:p>
    <w:p w:rsidR="006D5A63" w:rsidRDefault="001F5FE3" w:rsidP="00FA7533">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113DC0" w:rsidRDefault="001F5FE3" w:rsidP="00FA7533">
      <w:pPr>
        <w:spacing w:line="276" w:lineRule="auto"/>
        <w:jc w:val="center"/>
        <w:rPr>
          <w:rStyle w:val="st"/>
          <w:rFonts w:asciiTheme="majorHAnsi" w:hAnsiTheme="majorHAnsi"/>
          <w:i/>
          <w:sz w:val="36"/>
        </w:rPr>
      </w:pPr>
      <w:r w:rsidRPr="00113DC0">
        <w:rPr>
          <w:rStyle w:val="st"/>
          <w:rFonts w:asciiTheme="majorHAnsi" w:hAnsiTheme="majorHAnsi"/>
          <w:i/>
          <w:sz w:val="36"/>
        </w:rPr>
        <w:t>“</w:t>
      </w:r>
      <w:r w:rsidRPr="00113DC0">
        <w:rPr>
          <w:rStyle w:val="st"/>
          <w:rFonts w:asciiTheme="majorHAnsi" w:hAnsiTheme="majorHAnsi"/>
          <w:i/>
          <w:sz w:val="36"/>
        </w:rPr>
        <w:t xml:space="preserve">Having a lot of money does not automatically make you a successful person. What you want is </w:t>
      </w:r>
      <w:r w:rsidRPr="00113DC0">
        <w:rPr>
          <w:rStyle w:val="st"/>
          <w:rFonts w:asciiTheme="majorHAnsi" w:hAnsiTheme="majorHAnsi"/>
          <w:b/>
          <w:i/>
          <w:sz w:val="36"/>
        </w:rPr>
        <w:t>money and meaning</w:t>
      </w:r>
      <w:r w:rsidRPr="00113DC0">
        <w:rPr>
          <w:rStyle w:val="st"/>
          <w:rFonts w:asciiTheme="majorHAnsi" w:hAnsiTheme="majorHAnsi"/>
          <w:i/>
          <w:sz w:val="36"/>
        </w:rPr>
        <w:t xml:space="preserve">. You </w:t>
      </w:r>
      <w:r w:rsidRPr="00113DC0">
        <w:rPr>
          <w:rStyle w:val="st"/>
          <w:rFonts w:asciiTheme="majorHAnsi" w:hAnsiTheme="majorHAnsi"/>
          <w:i/>
          <w:sz w:val="36"/>
        </w:rPr>
        <w:t>want your work to be meaningful, because meaning is what brings</w:t>
      </w:r>
      <w:r w:rsidRPr="00113DC0">
        <w:rPr>
          <w:rStyle w:val="st"/>
          <w:rFonts w:asciiTheme="majorHAnsi" w:hAnsiTheme="majorHAnsi"/>
          <w:i/>
          <w:sz w:val="36"/>
        </w:rPr>
        <w:t xml:space="preserve"> the real richness to your life</w:t>
      </w:r>
      <w:r w:rsidRPr="00113DC0">
        <w:rPr>
          <w:rStyle w:val="st"/>
          <w:rFonts w:asciiTheme="majorHAnsi" w:hAnsiTheme="majorHAnsi"/>
          <w:i/>
          <w:sz w:val="36"/>
        </w:rPr>
        <w:t>.”</w:t>
      </w:r>
    </w:p>
    <w:p w:rsidR="006D5A63" w:rsidRPr="00E60951" w:rsidRDefault="001F5FE3" w:rsidP="00FA7533">
      <w:pPr>
        <w:spacing w:line="276" w:lineRule="auto"/>
        <w:jc w:val="center"/>
        <w:rPr>
          <w:rStyle w:val="st"/>
          <w:rFonts w:asciiTheme="majorHAnsi" w:hAnsiTheme="majorHAnsi"/>
          <w:caps/>
          <w:color w:val="3E7BB6"/>
          <w:sz w:val="24"/>
        </w:rPr>
      </w:pPr>
      <w:r>
        <w:rPr>
          <w:rStyle w:val="st"/>
          <w:rFonts w:asciiTheme="majorHAnsi" w:hAnsiTheme="majorHAnsi"/>
          <w:i/>
          <w:caps/>
          <w:color w:val="3E7BB6"/>
        </w:rPr>
        <w:t>Oprah winfrey</w:t>
      </w:r>
    </w:p>
    <w:p w:rsidR="006D5A63" w:rsidRPr="00B2579B" w:rsidRDefault="001F5FE3" w:rsidP="00FA7533">
      <w:pPr>
        <w:spacing w:line="276" w:lineRule="auto"/>
        <w:jc w:val="center"/>
        <w:rPr>
          <w:rStyle w:val="st"/>
          <w:rFonts w:asciiTheme="majorHAnsi" w:hAnsiTheme="majorHAnsi"/>
          <w:i/>
          <w:color w:val="E88E0A"/>
        </w:rPr>
      </w:pPr>
    </w:p>
    <w:p w:rsidR="00713653" w:rsidRDefault="001F5FE3" w:rsidP="00FA7533">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Default="001F5FE3" w:rsidP="00FA7533">
      <w:pPr>
        <w:spacing w:line="276" w:lineRule="auto"/>
        <w:rPr>
          <w:rStyle w:val="st"/>
          <w:rFonts w:asciiTheme="majorHAnsi" w:hAnsiTheme="majorHAnsi"/>
        </w:rPr>
      </w:pPr>
      <w:r>
        <w:rPr>
          <w:rStyle w:val="st"/>
          <w:rFonts w:asciiTheme="majorHAnsi" w:hAnsiTheme="majorHAnsi"/>
        </w:rPr>
        <w:t xml:space="preserve"> </w:t>
      </w:r>
    </w:p>
    <w:p w:rsidR="00775662" w:rsidRPr="00CE13AE" w:rsidRDefault="001F5FE3" w:rsidP="00FA7533">
      <w:pPr>
        <w:spacing w:line="276" w:lineRule="auto"/>
        <w:rPr>
          <w:rFonts w:asciiTheme="majorHAnsi" w:hAnsiTheme="majorHAnsi"/>
          <w:b/>
          <w:color w:val="3E7BB6"/>
          <w:spacing w:val="-2"/>
          <w:sz w:val="28"/>
        </w:rPr>
      </w:pPr>
      <w:r>
        <w:rPr>
          <w:rFonts w:asciiTheme="majorHAnsi" w:hAnsiTheme="majorHAnsi"/>
          <w:b/>
          <w:color w:val="3E7BB6"/>
          <w:spacing w:val="-2"/>
          <w:sz w:val="28"/>
        </w:rPr>
        <w:t>UPCOMING RELEASES</w:t>
      </w:r>
    </w:p>
    <w:p w:rsidR="00775662" w:rsidRPr="00113DC0" w:rsidRDefault="001F5FE3" w:rsidP="00FA7533">
      <w:pPr>
        <w:spacing w:line="276" w:lineRule="auto"/>
        <w:jc w:val="both"/>
        <w:rPr>
          <w:rFonts w:asciiTheme="majorHAnsi" w:hAnsiTheme="majorHAnsi"/>
          <w:color w:val="833C0B" w:themeColor="accent2" w:themeShade="80"/>
          <w:spacing w:val="-2"/>
        </w:rPr>
      </w:pPr>
      <w:r w:rsidRPr="00113DC0">
        <w:rPr>
          <w:rFonts w:asciiTheme="majorHAnsi" w:hAnsiTheme="majorHAnsi"/>
          <w:spacing w:val="-2"/>
        </w:rPr>
        <w:t>What will investors watch across the rest of July? Here are the key reports: the minutes from the Federal Reserve’s recent</w:t>
      </w:r>
      <w:r w:rsidRPr="00113DC0">
        <w:rPr>
          <w:rFonts w:asciiTheme="majorHAnsi" w:hAnsiTheme="majorHAnsi"/>
          <w:spacing w:val="-2"/>
        </w:rPr>
        <w:t xml:space="preserve"> policy meeting and the June ISM service sect</w:t>
      </w:r>
      <w:r w:rsidRPr="00356FBC">
        <w:rPr>
          <w:rFonts w:asciiTheme="majorHAnsi" w:hAnsiTheme="majorHAnsi"/>
          <w:spacing w:val="-2"/>
        </w:rPr>
        <w:t xml:space="preserve">or PMI (7/5), the Department of Labor’s latest employment report (7/6), </w:t>
      </w:r>
      <w:r w:rsidRPr="00356FBC">
        <w:rPr>
          <w:rFonts w:asciiTheme="majorHAnsi" w:hAnsiTheme="majorHAnsi"/>
          <w:spacing w:val="-2"/>
        </w:rPr>
        <w:t xml:space="preserve">June wholesale inflation (7/11), </w:t>
      </w:r>
      <w:r w:rsidRPr="00356FBC">
        <w:rPr>
          <w:rFonts w:asciiTheme="majorHAnsi" w:hAnsiTheme="majorHAnsi"/>
          <w:spacing w:val="-2"/>
        </w:rPr>
        <w:t>June’s Consumer Price Index (</w:t>
      </w:r>
      <w:r w:rsidRPr="00356FBC">
        <w:rPr>
          <w:rFonts w:asciiTheme="majorHAnsi" w:hAnsiTheme="majorHAnsi"/>
          <w:spacing w:val="-2"/>
        </w:rPr>
        <w:t>7</w:t>
      </w:r>
      <w:r w:rsidRPr="00356FBC">
        <w:rPr>
          <w:rFonts w:asciiTheme="majorHAnsi" w:hAnsiTheme="majorHAnsi"/>
          <w:spacing w:val="-2"/>
        </w:rPr>
        <w:t>/1</w:t>
      </w:r>
      <w:r w:rsidRPr="00356FBC">
        <w:rPr>
          <w:rFonts w:asciiTheme="majorHAnsi" w:hAnsiTheme="majorHAnsi"/>
          <w:spacing w:val="-2"/>
        </w:rPr>
        <w:t>2</w:t>
      </w:r>
      <w:r w:rsidRPr="00356FBC">
        <w:rPr>
          <w:rFonts w:asciiTheme="majorHAnsi" w:hAnsiTheme="majorHAnsi"/>
          <w:spacing w:val="-2"/>
        </w:rPr>
        <w:t xml:space="preserve">), the </w:t>
      </w:r>
      <w:r w:rsidRPr="00356FBC">
        <w:rPr>
          <w:rFonts w:asciiTheme="majorHAnsi" w:hAnsiTheme="majorHAnsi"/>
          <w:spacing w:val="-2"/>
        </w:rPr>
        <w:lastRenderedPageBreak/>
        <w:t xml:space="preserve">initial </w:t>
      </w:r>
      <w:r w:rsidRPr="00356FBC">
        <w:rPr>
          <w:rFonts w:asciiTheme="majorHAnsi" w:hAnsiTheme="majorHAnsi"/>
          <w:spacing w:val="-2"/>
        </w:rPr>
        <w:t>July</w:t>
      </w:r>
      <w:r w:rsidRPr="00356FBC">
        <w:rPr>
          <w:rFonts w:asciiTheme="majorHAnsi" w:hAnsiTheme="majorHAnsi"/>
          <w:spacing w:val="-2"/>
        </w:rPr>
        <w:t xml:space="preserve"> University of Michigan consumer sentiment index</w:t>
      </w:r>
      <w:r w:rsidRPr="00356FBC">
        <w:rPr>
          <w:rFonts w:asciiTheme="majorHAnsi" w:hAnsiTheme="majorHAnsi"/>
          <w:spacing w:val="-2"/>
        </w:rPr>
        <w:t xml:space="preserve"> (7/13</w:t>
      </w:r>
      <w:r w:rsidRPr="00356FBC">
        <w:rPr>
          <w:rFonts w:asciiTheme="majorHAnsi" w:hAnsiTheme="majorHAnsi"/>
          <w:spacing w:val="-2"/>
        </w:rPr>
        <w:t>),</w:t>
      </w:r>
      <w:r w:rsidRPr="00356FBC">
        <w:rPr>
          <w:rFonts w:asciiTheme="majorHAnsi" w:hAnsiTheme="majorHAnsi"/>
          <w:spacing w:val="-2"/>
        </w:rPr>
        <w:t xml:space="preserve"> </w:t>
      </w:r>
      <w:r w:rsidRPr="00356FBC">
        <w:rPr>
          <w:rFonts w:asciiTheme="majorHAnsi" w:hAnsiTheme="majorHAnsi"/>
          <w:spacing w:val="-2"/>
        </w:rPr>
        <w:t xml:space="preserve">the June retail sales report </w:t>
      </w:r>
      <w:r w:rsidRPr="00356FBC">
        <w:rPr>
          <w:rFonts w:asciiTheme="majorHAnsi" w:hAnsiTheme="majorHAnsi"/>
          <w:spacing w:val="-2"/>
        </w:rPr>
        <w:t>(</w:t>
      </w:r>
      <w:r w:rsidRPr="00356FBC">
        <w:rPr>
          <w:rFonts w:asciiTheme="majorHAnsi" w:hAnsiTheme="majorHAnsi"/>
          <w:spacing w:val="-2"/>
        </w:rPr>
        <w:t>7</w:t>
      </w:r>
      <w:r w:rsidRPr="00356FBC">
        <w:rPr>
          <w:rFonts w:asciiTheme="majorHAnsi" w:hAnsiTheme="majorHAnsi"/>
          <w:spacing w:val="-2"/>
        </w:rPr>
        <w:t xml:space="preserve">/16), </w:t>
      </w:r>
      <w:r w:rsidRPr="00356FBC">
        <w:rPr>
          <w:rFonts w:asciiTheme="majorHAnsi" w:hAnsiTheme="majorHAnsi"/>
          <w:spacing w:val="-2"/>
        </w:rPr>
        <w:t>June industrial output (7/17), the Census Bureau’s latest snapshot of hous</w:t>
      </w:r>
      <w:r w:rsidRPr="00FA0B4F">
        <w:rPr>
          <w:rFonts w:asciiTheme="majorHAnsi" w:hAnsiTheme="majorHAnsi"/>
          <w:spacing w:val="-2"/>
        </w:rPr>
        <w:t>ing starts and building permits and a new Be</w:t>
      </w:r>
      <w:r w:rsidRPr="00E6362F">
        <w:rPr>
          <w:rFonts w:asciiTheme="majorHAnsi" w:hAnsiTheme="majorHAnsi"/>
          <w:spacing w:val="-2"/>
        </w:rPr>
        <w:t>ige Book from the Fed (7/18), the Conference Board’s June leading indicator index (7/19</w:t>
      </w:r>
      <w:r w:rsidRPr="005B44CE">
        <w:rPr>
          <w:rFonts w:asciiTheme="majorHAnsi" w:hAnsiTheme="majorHAnsi"/>
          <w:spacing w:val="-2"/>
        </w:rPr>
        <w:t xml:space="preserve">), </w:t>
      </w:r>
      <w:r w:rsidRPr="005B44CE">
        <w:rPr>
          <w:rFonts w:asciiTheme="majorHAnsi" w:hAnsiTheme="majorHAnsi"/>
          <w:spacing w:val="-2"/>
        </w:rPr>
        <w:t>the NAR’</w:t>
      </w:r>
      <w:r w:rsidRPr="005B44CE">
        <w:rPr>
          <w:rFonts w:asciiTheme="majorHAnsi" w:hAnsiTheme="majorHAnsi"/>
          <w:spacing w:val="-2"/>
        </w:rPr>
        <w:t>s June existing home sales report (</w:t>
      </w:r>
      <w:r w:rsidRPr="005B44CE">
        <w:rPr>
          <w:rFonts w:asciiTheme="majorHAnsi" w:hAnsiTheme="majorHAnsi"/>
          <w:spacing w:val="-2"/>
        </w:rPr>
        <w:t>7</w:t>
      </w:r>
      <w:r w:rsidRPr="005B44CE">
        <w:rPr>
          <w:rFonts w:asciiTheme="majorHAnsi" w:hAnsiTheme="majorHAnsi"/>
          <w:spacing w:val="-2"/>
        </w:rPr>
        <w:t>/2</w:t>
      </w:r>
      <w:r w:rsidRPr="005B44CE">
        <w:rPr>
          <w:rFonts w:asciiTheme="majorHAnsi" w:hAnsiTheme="majorHAnsi"/>
          <w:spacing w:val="-2"/>
        </w:rPr>
        <w:t>3</w:t>
      </w:r>
      <w:r w:rsidRPr="005B44CE">
        <w:rPr>
          <w:rFonts w:asciiTheme="majorHAnsi" w:hAnsiTheme="majorHAnsi"/>
          <w:spacing w:val="-2"/>
        </w:rPr>
        <w:t xml:space="preserve">), </w:t>
      </w:r>
      <w:r w:rsidRPr="005B44CE">
        <w:rPr>
          <w:rFonts w:asciiTheme="majorHAnsi" w:hAnsiTheme="majorHAnsi"/>
          <w:spacing w:val="-2"/>
        </w:rPr>
        <w:t xml:space="preserve">June new home sales (7/25), </w:t>
      </w:r>
      <w:r w:rsidRPr="005B44CE">
        <w:rPr>
          <w:rFonts w:asciiTheme="majorHAnsi" w:hAnsiTheme="majorHAnsi"/>
          <w:spacing w:val="-2"/>
        </w:rPr>
        <w:t xml:space="preserve">June hard goods orders (7/26), </w:t>
      </w:r>
      <w:r w:rsidRPr="005B44CE">
        <w:rPr>
          <w:rFonts w:asciiTheme="majorHAnsi" w:hAnsiTheme="majorHAnsi"/>
          <w:spacing w:val="-2"/>
        </w:rPr>
        <w:t xml:space="preserve">the </w:t>
      </w:r>
      <w:r w:rsidRPr="005B44CE">
        <w:rPr>
          <w:rFonts w:asciiTheme="majorHAnsi" w:hAnsiTheme="majorHAnsi"/>
          <w:spacing w:val="-2"/>
        </w:rPr>
        <w:t xml:space="preserve">second estimate of Q2 economic growth and the </w:t>
      </w:r>
      <w:r w:rsidRPr="005B44CE">
        <w:rPr>
          <w:rFonts w:asciiTheme="majorHAnsi" w:hAnsiTheme="majorHAnsi"/>
          <w:spacing w:val="-2"/>
        </w:rPr>
        <w:t xml:space="preserve">final </w:t>
      </w:r>
      <w:r w:rsidRPr="005B44CE">
        <w:rPr>
          <w:rFonts w:asciiTheme="majorHAnsi" w:hAnsiTheme="majorHAnsi"/>
          <w:spacing w:val="-2"/>
        </w:rPr>
        <w:t>Jul</w:t>
      </w:r>
      <w:r w:rsidRPr="005B44CE">
        <w:rPr>
          <w:rFonts w:asciiTheme="majorHAnsi" w:hAnsiTheme="majorHAnsi"/>
          <w:spacing w:val="-2"/>
        </w:rPr>
        <w:t>y University of Mich</w:t>
      </w:r>
      <w:r w:rsidRPr="005B44CE">
        <w:rPr>
          <w:rFonts w:asciiTheme="majorHAnsi" w:hAnsiTheme="majorHAnsi"/>
          <w:spacing w:val="-2"/>
        </w:rPr>
        <w:t>igan consumer sentiment index (7</w:t>
      </w:r>
      <w:r w:rsidRPr="005B44CE">
        <w:rPr>
          <w:rFonts w:asciiTheme="majorHAnsi" w:hAnsiTheme="majorHAnsi"/>
          <w:spacing w:val="-2"/>
        </w:rPr>
        <w:t>/2</w:t>
      </w:r>
      <w:r w:rsidRPr="005B44CE">
        <w:rPr>
          <w:rFonts w:asciiTheme="majorHAnsi" w:hAnsiTheme="majorHAnsi"/>
          <w:spacing w:val="-2"/>
        </w:rPr>
        <w:t>7</w:t>
      </w:r>
      <w:r w:rsidRPr="005B44CE">
        <w:rPr>
          <w:rFonts w:asciiTheme="majorHAnsi" w:hAnsiTheme="majorHAnsi"/>
          <w:spacing w:val="-2"/>
        </w:rPr>
        <w:t xml:space="preserve">), the </w:t>
      </w:r>
      <w:r w:rsidRPr="005B44CE">
        <w:rPr>
          <w:rFonts w:asciiTheme="majorHAnsi" w:hAnsiTheme="majorHAnsi"/>
          <w:spacing w:val="-2"/>
        </w:rPr>
        <w:t>NAR’s newest pending home sales in</w:t>
      </w:r>
      <w:r w:rsidRPr="005B44CE">
        <w:rPr>
          <w:rFonts w:asciiTheme="majorHAnsi" w:hAnsiTheme="majorHAnsi"/>
          <w:spacing w:val="-2"/>
        </w:rPr>
        <w:t xml:space="preserve">dex (7/30), and finally the </w:t>
      </w:r>
      <w:r w:rsidRPr="005B44CE">
        <w:rPr>
          <w:rFonts w:asciiTheme="majorHAnsi" w:hAnsiTheme="majorHAnsi"/>
          <w:spacing w:val="-2"/>
        </w:rPr>
        <w:t>Conference Board’s latest consumer confidence index</w:t>
      </w:r>
      <w:r w:rsidRPr="005B44CE">
        <w:rPr>
          <w:rFonts w:asciiTheme="majorHAnsi" w:hAnsiTheme="majorHAnsi"/>
          <w:spacing w:val="-2"/>
        </w:rPr>
        <w:t xml:space="preserve">, the June PCE price index, and </w:t>
      </w:r>
      <w:r w:rsidRPr="005B44CE">
        <w:rPr>
          <w:rFonts w:asciiTheme="majorHAnsi" w:hAnsiTheme="majorHAnsi"/>
          <w:spacing w:val="-2"/>
        </w:rPr>
        <w:t>June</w:t>
      </w:r>
      <w:r w:rsidRPr="005B44CE">
        <w:rPr>
          <w:rFonts w:asciiTheme="majorHAnsi" w:hAnsiTheme="majorHAnsi"/>
          <w:spacing w:val="-2"/>
        </w:rPr>
        <w:t xml:space="preserve"> consumer spending (7/31)</w:t>
      </w:r>
      <w:r w:rsidRPr="005B44CE">
        <w:rPr>
          <w:rFonts w:asciiTheme="majorHAnsi" w:hAnsiTheme="majorHAnsi"/>
          <w:spacing w:val="-2"/>
        </w:rPr>
        <w:t>.</w:t>
      </w:r>
    </w:p>
    <w:p w:rsidR="00775662" w:rsidRDefault="001F5FE3" w:rsidP="00FA7533">
      <w:pPr>
        <w:spacing w:line="276" w:lineRule="auto"/>
        <w:jc w:val="both"/>
        <w:rPr>
          <w:rStyle w:val="st"/>
          <w:rFonts w:asciiTheme="majorHAnsi" w:hAnsiTheme="majorHAnsi"/>
        </w:rPr>
      </w:pPr>
    </w:p>
    <w:p w:rsidR="006D5A63" w:rsidRDefault="001F5FE3" w:rsidP="00FA7533">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Default="001F5FE3" w:rsidP="00FA7533">
      <w:pPr>
        <w:spacing w:line="276" w:lineRule="auto"/>
        <w:jc w:val="center"/>
        <w:rPr>
          <w:rStyle w:val="st"/>
          <w:rFonts w:asciiTheme="majorHAnsi" w:hAnsiTheme="majorHAnsi"/>
          <w:color w:val="E88E0A"/>
        </w:rPr>
      </w:pPr>
    </w:p>
    <w:p w:rsidR="006D5A63" w:rsidRPr="00CE13AE" w:rsidRDefault="001F5FE3" w:rsidP="00FA7533">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Default="001F5FE3" w:rsidP="00FA7533">
      <w:pPr>
        <w:spacing w:line="276" w:lineRule="auto"/>
        <w:jc w:val="center"/>
        <w:rPr>
          <w:rStyle w:val="st"/>
          <w:rFonts w:asciiTheme="majorHAnsi" w:hAnsiTheme="majorHAnsi"/>
        </w:rPr>
      </w:pPr>
    </w:p>
    <w:p w:rsidR="006D5A63" w:rsidRDefault="001F5FE3" w:rsidP="00FA7533">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475AD8" w:rsidRDefault="001F5FE3" w:rsidP="00FA7533">
      <w:pPr>
        <w:spacing w:line="276" w:lineRule="auto"/>
        <w:jc w:val="center"/>
        <w:rPr>
          <w:rStyle w:val="st"/>
          <w:rFonts w:asciiTheme="majorHAnsi" w:hAnsiTheme="majorHAnsi"/>
          <w:b/>
          <w:i/>
          <w:color w:val="002060"/>
          <w:sz w:val="36"/>
        </w:rPr>
      </w:pPr>
      <w:r>
        <w:rPr>
          <w:rStyle w:val="st"/>
          <w:rFonts w:asciiTheme="majorHAnsi" w:hAnsiTheme="majorHAnsi"/>
          <w:i/>
          <w:color w:val="002060"/>
          <w:sz w:val="36"/>
        </w:rPr>
        <w:t xml:space="preserve">Getting into it is often easy, as it may not require speech or much </w:t>
      </w:r>
      <w:r>
        <w:rPr>
          <w:rStyle w:val="st"/>
          <w:rFonts w:asciiTheme="majorHAnsi" w:hAnsiTheme="majorHAnsi"/>
          <w:i/>
          <w:color w:val="002060"/>
          <w:sz w:val="36"/>
        </w:rPr>
        <w:t>thought. It is often very difficult to get out of, though.</w:t>
      </w:r>
      <w:r w:rsidRPr="00475AD8">
        <w:rPr>
          <w:rStyle w:val="st"/>
          <w:rFonts w:asciiTheme="majorHAnsi" w:hAnsiTheme="majorHAnsi"/>
          <w:i/>
          <w:color w:val="002060"/>
          <w:sz w:val="36"/>
        </w:rPr>
        <w:t xml:space="preserve"> </w:t>
      </w:r>
      <w:r w:rsidRPr="00475AD8">
        <w:rPr>
          <w:rStyle w:val="st"/>
          <w:rFonts w:asciiTheme="majorHAnsi" w:hAnsiTheme="majorHAnsi"/>
          <w:b/>
          <w:i/>
          <w:color w:val="002060"/>
          <w:sz w:val="36"/>
        </w:rPr>
        <w:t>What is it?</w:t>
      </w:r>
    </w:p>
    <w:p w:rsidR="00237981" w:rsidRDefault="001F5FE3" w:rsidP="00FA7533">
      <w:pPr>
        <w:spacing w:line="276" w:lineRule="auto"/>
        <w:jc w:val="center"/>
        <w:rPr>
          <w:rStyle w:val="st"/>
          <w:rFonts w:asciiTheme="majorHAnsi" w:hAnsiTheme="majorHAnsi"/>
          <w:i/>
          <w:color w:val="A6A6A6" w:themeColor="background1" w:themeShade="A6"/>
        </w:rPr>
      </w:pPr>
    </w:p>
    <w:p w:rsidR="00237981" w:rsidRDefault="001F5FE3" w:rsidP="00FA7533">
      <w:pPr>
        <w:spacing w:line="276" w:lineRule="auto"/>
        <w:jc w:val="center"/>
        <w:rPr>
          <w:rStyle w:val="st"/>
          <w:rFonts w:asciiTheme="majorHAnsi" w:hAnsiTheme="majorHAnsi"/>
          <w:i/>
          <w:color w:val="A6A6A6" w:themeColor="background1" w:themeShade="A6"/>
        </w:rPr>
      </w:pPr>
      <w:r w:rsidRPr="00237981">
        <w:rPr>
          <w:rStyle w:val="st"/>
          <w:rFonts w:asciiTheme="majorHAnsi" w:hAnsiTheme="majorHAnsi"/>
          <w:i/>
          <w:color w:val="A6A6A6" w:themeColor="background1" w:themeShade="A6"/>
        </w:rPr>
        <w:t>LAST WEEK’S RIDDLE:</w:t>
      </w:r>
      <w:r>
        <w:rPr>
          <w:rStyle w:val="st"/>
          <w:rFonts w:asciiTheme="majorHAnsi" w:hAnsiTheme="majorHAnsi"/>
          <w:i/>
          <w:color w:val="A6A6A6" w:themeColor="background1" w:themeShade="A6"/>
        </w:rPr>
        <w:t xml:space="preserve"> </w:t>
      </w:r>
      <w:r w:rsidRPr="003D317F">
        <w:rPr>
          <w:rStyle w:val="st"/>
          <w:rFonts w:asciiTheme="majorHAnsi" w:hAnsiTheme="majorHAnsi"/>
          <w:i/>
          <w:color w:val="A6A6A6" w:themeColor="background1" w:themeShade="A6"/>
        </w:rPr>
        <w:t xml:space="preserve">This word has six letters; the first and last letters are Es. Take away either the first or last letter, and you can pronounce the five letters left to sound the </w:t>
      </w:r>
      <w:r w:rsidRPr="003D317F">
        <w:rPr>
          <w:rStyle w:val="st"/>
          <w:rFonts w:asciiTheme="majorHAnsi" w:hAnsiTheme="majorHAnsi"/>
          <w:i/>
          <w:color w:val="A6A6A6" w:themeColor="background1" w:themeShade="A6"/>
        </w:rPr>
        <w:t>same as the six-letter word. What word is this</w:t>
      </w:r>
      <w:r w:rsidRPr="000E20E1">
        <w:rPr>
          <w:rStyle w:val="st"/>
          <w:rFonts w:asciiTheme="majorHAnsi" w:hAnsiTheme="majorHAnsi"/>
          <w:i/>
          <w:color w:val="A6A6A6" w:themeColor="background1" w:themeShade="A6"/>
        </w:rPr>
        <w:t>?</w:t>
      </w:r>
    </w:p>
    <w:p w:rsidR="00237981" w:rsidRDefault="001F5FE3" w:rsidP="00FA7533">
      <w:pPr>
        <w:spacing w:line="276" w:lineRule="auto"/>
        <w:jc w:val="center"/>
        <w:rPr>
          <w:rStyle w:val="st"/>
          <w:rFonts w:asciiTheme="majorHAnsi" w:hAnsiTheme="majorHAnsi"/>
          <w:i/>
          <w:color w:val="A6A6A6" w:themeColor="background1" w:themeShade="A6"/>
        </w:rPr>
      </w:pPr>
      <w:r>
        <w:rPr>
          <w:rStyle w:val="st"/>
          <w:rFonts w:asciiTheme="majorHAnsi" w:hAnsiTheme="majorHAnsi"/>
          <w:i/>
          <w:color w:val="A6A6A6" w:themeColor="background1" w:themeShade="A6"/>
        </w:rPr>
        <w:t xml:space="preserve">ANSWER: </w:t>
      </w:r>
      <w:r>
        <w:rPr>
          <w:rStyle w:val="st"/>
          <w:rFonts w:asciiTheme="majorHAnsi" w:hAnsiTheme="majorHAnsi"/>
          <w:i/>
          <w:color w:val="A6A6A6" w:themeColor="background1" w:themeShade="A6"/>
        </w:rPr>
        <w:t>Excuse</w:t>
      </w:r>
      <w:r w:rsidRPr="000E20E1">
        <w:rPr>
          <w:rStyle w:val="st"/>
          <w:rFonts w:asciiTheme="majorHAnsi" w:hAnsiTheme="majorHAnsi"/>
          <w:i/>
          <w:color w:val="A6A6A6" w:themeColor="background1" w:themeShade="A6"/>
        </w:rPr>
        <w:t>.</w:t>
      </w:r>
    </w:p>
    <w:p w:rsidR="00237981" w:rsidRDefault="001F5FE3" w:rsidP="00FA7533">
      <w:pPr>
        <w:spacing w:line="276" w:lineRule="auto"/>
        <w:jc w:val="center"/>
        <w:rPr>
          <w:rStyle w:val="st"/>
          <w:rFonts w:asciiTheme="majorHAnsi" w:hAnsiTheme="majorHAnsi"/>
          <w:i/>
          <w:color w:val="A6A6A6" w:themeColor="background1" w:themeShade="A6"/>
        </w:rPr>
      </w:pPr>
    </w:p>
    <w:p w:rsidR="006E3EBF" w:rsidRPr="001F5FE3" w:rsidRDefault="001F5FE3" w:rsidP="00FA7533">
      <w:pPr>
        <w:spacing w:line="276" w:lineRule="auto"/>
        <w:jc w:val="center"/>
        <w:rPr>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r>
        <w:rPr>
          <w:rFonts w:asciiTheme="majorHAnsi" w:hAnsiTheme="majorHAnsi" w:cs="Times New Roman"/>
          <w:sz w:val="24"/>
          <w:szCs w:val="32"/>
        </w:rPr>
        <w:br/>
      </w:r>
    </w:p>
    <w:p w:rsidR="00237981" w:rsidRPr="00237981" w:rsidRDefault="001F5FE3" w:rsidP="00FA7533">
      <w:pPr>
        <w:spacing w:line="276" w:lineRule="auto"/>
        <w:jc w:val="center"/>
        <w:rPr>
          <w:rFonts w:asciiTheme="majorHAnsi" w:hAnsiTheme="majorHAnsi" w:cs="Times New Roman"/>
          <w:sz w:val="24"/>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 xml:space="preserve">Please feel free send us their contact information </w:t>
      </w:r>
      <w:r>
        <w:rPr>
          <w:rFonts w:asciiTheme="majorHAnsi" w:hAnsiTheme="majorHAnsi" w:cs="Times New Roman"/>
          <w:sz w:val="24"/>
          <w:szCs w:val="32"/>
        </w:rPr>
        <w:t>via phone or email. (Don’t worry – we’ll request their permission before adding them to our mailing list.)</w:t>
      </w:r>
      <w:r>
        <w:rPr>
          <w:rFonts w:asciiTheme="majorHAnsi" w:hAnsiTheme="majorHAnsi" w:cs="Times New Roman"/>
          <w:sz w:val="24"/>
          <w:szCs w:val="32"/>
        </w:rPr>
        <w:br/>
      </w:r>
    </w:p>
    <w:p w:rsidR="00237981" w:rsidRDefault="001F5FE3" w:rsidP="00FA7533">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lastRenderedPageBreak/>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1F5FE3" w:rsidRPr="001F5FE3" w:rsidRDefault="001F5FE3" w:rsidP="001F5FE3">
      <w:pPr>
        <w:pStyle w:val="BasicParagraph"/>
        <w:suppressAutoHyphens/>
        <w:spacing w:line="240" w:lineRule="auto"/>
        <w:rPr>
          <w:rFonts w:asciiTheme="majorHAnsi" w:hAnsiTheme="majorHAnsi" w:cs="TimesNewRomanPSMT"/>
          <w:sz w:val="18"/>
          <w:szCs w:val="18"/>
        </w:rPr>
      </w:pPr>
      <w:bookmarkStart w:id="0" w:name="_GoBack"/>
      <w:bookmarkEnd w:id="0"/>
      <w:r w:rsidRPr="001F5FE3">
        <w:rPr>
          <w:rFonts w:asciiTheme="majorHAnsi" w:hAnsiTheme="majorHAnsi" w:cs="TimesNewRomanPSMT"/>
          <w:sz w:val="18"/>
          <w:szCs w:val="18"/>
        </w:rPr>
        <w:t xml:space="preserve">Chris Hass, Jeff Caufield and Chad Perkins offer securities through Parkland Securities, LLC. </w:t>
      </w:r>
      <w:proofErr w:type="gramStart"/>
      <w:r w:rsidRPr="001F5FE3">
        <w:rPr>
          <w:rFonts w:asciiTheme="majorHAnsi" w:hAnsiTheme="majorHAnsi" w:cs="TimesNewRomanPSMT"/>
          <w:sz w:val="18"/>
          <w:szCs w:val="18"/>
        </w:rPr>
        <w:t>Member FINRA/SIPC.</w:t>
      </w:r>
      <w:proofErr w:type="gramEnd"/>
      <w:r w:rsidRPr="001F5FE3">
        <w:rPr>
          <w:rFonts w:asciiTheme="majorHAnsi" w:hAnsiTheme="majorHAnsi" w:cs="TimesNewRomanPSMT"/>
          <w:sz w:val="18"/>
          <w:szCs w:val="18"/>
        </w:rPr>
        <w:t xml:space="preserve">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rsidR="001F5FE3" w:rsidRDefault="001F5FE3" w:rsidP="00FA7533">
      <w:pPr>
        <w:widowControl w:val="0"/>
        <w:autoSpaceDE w:val="0"/>
        <w:autoSpaceDN w:val="0"/>
        <w:adjustRightInd w:val="0"/>
        <w:spacing w:line="276" w:lineRule="auto"/>
        <w:jc w:val="both"/>
        <w:rPr>
          <w:rFonts w:asciiTheme="majorHAnsi" w:hAnsiTheme="majorHAnsi"/>
          <w:color w:val="A6A6A6" w:themeColor="background1" w:themeShade="A6"/>
          <w:sz w:val="16"/>
          <w:szCs w:val="16"/>
        </w:rPr>
      </w:pPr>
    </w:p>
    <w:p w:rsidR="00237981" w:rsidRPr="00775662" w:rsidRDefault="001F5FE3" w:rsidP="00FA7533">
      <w:pPr>
        <w:widowControl w:val="0"/>
        <w:autoSpaceDE w:val="0"/>
        <w:autoSpaceDN w:val="0"/>
        <w:adjustRightInd w:val="0"/>
        <w:spacing w:line="276" w:lineRule="auto"/>
        <w:jc w:val="both"/>
        <w:rPr>
          <w:rFonts w:asciiTheme="majorHAnsi" w:hAnsiTheme="majorHAnsi"/>
          <w:color w:val="A6A6A6"/>
          <w:sz w:val="16"/>
          <w:szCs w:val="16"/>
        </w:rPr>
      </w:pPr>
      <w:r w:rsidRPr="006B0FF7">
        <w:rPr>
          <w:rFonts w:asciiTheme="majorHAnsi" w:hAnsiTheme="majorHAnsi" w:cs="Arial"/>
          <w:color w:val="A6A6A6"/>
          <w:sz w:val="16"/>
          <w:szCs w:val="16"/>
        </w:rPr>
        <w:t>This material was prepared by MarketingPro, Inc., a</w:t>
      </w:r>
      <w:r w:rsidRPr="006B0FF7">
        <w:rPr>
          <w:rFonts w:asciiTheme="majorHAnsi" w:hAnsiTheme="majorHAnsi" w:cs="Arial"/>
          <w:color w:val="A6A6A6"/>
          <w:sz w:val="16"/>
          <w:szCs w:val="16"/>
        </w:rPr>
        <w:t>nd does not necessarily represent the views of the presenting party, nor their affiliates. The information herein has been derived from sources believed to be accurate. Please note - investing involves risk, and past performance is no guarantee of future r</w:t>
      </w:r>
      <w:r w:rsidRPr="006B0FF7">
        <w:rPr>
          <w:rFonts w:asciiTheme="majorHAnsi" w:hAnsiTheme="majorHAnsi" w:cs="Arial"/>
          <w:color w:val="A6A6A6"/>
          <w:sz w:val="16"/>
          <w:szCs w:val="16"/>
        </w:rPr>
        <w:t>esults. Investments will fluctuate and when redeemed may be worth more or less than when originally invested. This information should not be construed as investment, tax or legal advice and may not be relied on for the purpose of avoiding any Federal tax p</w:t>
      </w:r>
      <w:r w:rsidRPr="006B0FF7">
        <w:rPr>
          <w:rFonts w:asciiTheme="majorHAnsi" w:hAnsiTheme="majorHAnsi" w:cs="Arial"/>
          <w:color w:val="A6A6A6"/>
          <w:sz w:val="16"/>
          <w:szCs w:val="16"/>
        </w:rPr>
        <w:t>enalty. This is neither a solicitation nor recommendation to purchase or sell any investment or insurance product or service, and should not be relied upon as such. All market indices discussed are unmanaged and are not illustrative of any particular inves</w:t>
      </w:r>
      <w:r w:rsidRPr="006B0FF7">
        <w:rPr>
          <w:rFonts w:asciiTheme="majorHAnsi" w:hAnsiTheme="majorHAnsi" w:cs="Arial"/>
          <w:color w:val="A6A6A6"/>
          <w:sz w:val="16"/>
          <w:szCs w:val="16"/>
        </w:rPr>
        <w:t>tment. Indices do not incur management fees, costs and expenses, and cannot be invested into directly. All economic and performance data is historical and not indicative of future results.</w:t>
      </w:r>
      <w:r w:rsidRPr="006B0FF7">
        <w:rPr>
          <w:rFonts w:asciiTheme="majorHAnsi" w:hAnsiTheme="majorHAnsi"/>
          <w:color w:val="A6A6A6"/>
          <w:sz w:val="16"/>
          <w:szCs w:val="16"/>
        </w:rPr>
        <w:t xml:space="preserve"> The Dow Jones Industrial Average is a price-weighted index of 30 ac</w:t>
      </w:r>
      <w:r w:rsidRPr="006B0FF7">
        <w:rPr>
          <w:rFonts w:asciiTheme="majorHAnsi" w:hAnsiTheme="majorHAnsi"/>
          <w:color w:val="A6A6A6"/>
          <w:sz w:val="16"/>
          <w:szCs w:val="16"/>
        </w:rPr>
        <w:t>tively traded blue-chip stocks. The NASDAQ Composite Index is a market-weighted index of all over-the-counter common stocks traded on the National Association of Securities Dealers Automated Quotation System. The Standard &amp; Poor's 500 (S&amp;P 500)</w:t>
      </w:r>
      <w:r w:rsidRPr="006B0FF7">
        <w:rPr>
          <w:rFonts w:asciiTheme="majorHAnsi" w:hAnsiTheme="majorHAnsi"/>
          <w:iCs/>
          <w:color w:val="A6A6A6"/>
          <w:sz w:val="16"/>
          <w:szCs w:val="16"/>
        </w:rPr>
        <w:t xml:space="preserve"> is a market</w:t>
      </w:r>
      <w:r w:rsidRPr="006B0FF7">
        <w:rPr>
          <w:rFonts w:asciiTheme="majorHAnsi" w:hAnsiTheme="majorHAnsi"/>
          <w:iCs/>
          <w:color w:val="A6A6A6"/>
          <w:sz w:val="16"/>
          <w:szCs w:val="16"/>
        </w:rPr>
        <w:t>-cap weighted index composed of the common stocks of 500 leading companies in leading industries of the U.S. economy</w:t>
      </w:r>
      <w:r w:rsidRPr="006B0FF7">
        <w:rPr>
          <w:rFonts w:asciiTheme="majorHAnsi" w:hAnsiTheme="majorHAnsi"/>
          <w:color w:val="A6A6A6"/>
          <w:sz w:val="16"/>
          <w:szCs w:val="16"/>
        </w:rPr>
        <w:t>. The Russell 2000 Index measures the performance of the small-cap segment of the U.S. equity universe. The CBOE Volatility Index</w:t>
      </w:r>
      <w:r w:rsidRPr="006B0FF7">
        <w:rPr>
          <w:rFonts w:asciiTheme="majorHAnsi" w:hAnsiTheme="majorHAnsi"/>
          <w:color w:val="A6A6A6"/>
          <w:sz w:val="16"/>
          <w:szCs w:val="16"/>
          <w:vertAlign w:val="superscript"/>
        </w:rPr>
        <w:t>®</w:t>
      </w:r>
      <w:r w:rsidRPr="006B0FF7">
        <w:rPr>
          <w:rFonts w:asciiTheme="majorHAnsi" w:hAnsiTheme="majorHAnsi"/>
          <w:color w:val="A6A6A6"/>
          <w:sz w:val="16"/>
          <w:szCs w:val="16"/>
        </w:rPr>
        <w:t xml:space="preserve"> (VIX</w:t>
      </w:r>
      <w:r w:rsidRPr="006B0FF7">
        <w:rPr>
          <w:rFonts w:asciiTheme="majorHAnsi" w:hAnsiTheme="majorHAnsi"/>
          <w:color w:val="A6A6A6"/>
          <w:sz w:val="16"/>
          <w:szCs w:val="16"/>
          <w:vertAlign w:val="superscript"/>
        </w:rPr>
        <w:t>®</w:t>
      </w:r>
      <w:r w:rsidRPr="006B0FF7">
        <w:rPr>
          <w:rFonts w:asciiTheme="majorHAnsi" w:hAnsiTheme="majorHAnsi"/>
          <w:color w:val="A6A6A6"/>
          <w:sz w:val="16"/>
          <w:szCs w:val="16"/>
        </w:rPr>
        <w:t>) is</w:t>
      </w:r>
      <w:r w:rsidRPr="006B0FF7">
        <w:rPr>
          <w:rFonts w:asciiTheme="majorHAnsi" w:hAnsiTheme="majorHAnsi"/>
          <w:color w:val="A6A6A6"/>
          <w:sz w:val="16"/>
          <w:szCs w:val="16"/>
        </w:rPr>
        <w:t xml:space="preserve"> a key measure of market expectations of near-term volatility conveyed by S&amp;P 500 stock index option prices. NYSE Group, Inc. (NYSE:NYX) operates two securities exchanges: the New York Stock Exchange (the “NYSE”) and NYSE Arca (formerly known as the Archip</w:t>
      </w:r>
      <w:r w:rsidRPr="006B0FF7">
        <w:rPr>
          <w:rFonts w:asciiTheme="majorHAnsi" w:hAnsiTheme="majorHAnsi"/>
          <w:color w:val="A6A6A6"/>
          <w:sz w:val="16"/>
          <w:szCs w:val="16"/>
        </w:rPr>
        <w:t>elago Exchange, or ArcaEx</w:t>
      </w:r>
      <w:r w:rsidRPr="006B0FF7">
        <w:rPr>
          <w:rFonts w:asciiTheme="majorHAnsi" w:hAnsiTheme="majorHAnsi"/>
          <w:color w:val="A6A6A6"/>
          <w:sz w:val="16"/>
          <w:szCs w:val="16"/>
          <w:vertAlign w:val="superscript"/>
        </w:rPr>
        <w:t>®</w:t>
      </w:r>
      <w:r w:rsidRPr="006B0FF7">
        <w:rPr>
          <w:rFonts w:asciiTheme="majorHAnsi" w:hAnsiTheme="majorHAnsi"/>
          <w:color w:val="A6A6A6"/>
          <w:sz w:val="16"/>
          <w:szCs w:val="16"/>
        </w:rPr>
        <w:t>, and the Pacific Exchange). NYSE Group is a leading provider of securities listing, trading and market data products and services. The New York Mercantile Exchange, Inc. (NYMEX) is the world's largest physical commodity futures e</w:t>
      </w:r>
      <w:r w:rsidRPr="006B0FF7">
        <w:rPr>
          <w:rFonts w:asciiTheme="majorHAnsi" w:hAnsiTheme="majorHAnsi"/>
          <w:color w:val="A6A6A6"/>
          <w:sz w:val="16"/>
          <w:szCs w:val="16"/>
        </w:rPr>
        <w:t>xchange and the preeminent trading forum for energy and precious metals, with trading conducted through two divisions – the NYMEX Division, home to the energy, platinum, and palladium markets, and the COMEX Division, on which all other metals trade.</w:t>
      </w:r>
      <w:r>
        <w:rPr>
          <w:rFonts w:asciiTheme="majorHAnsi" w:hAnsiTheme="majorHAnsi"/>
          <w:color w:val="A6A6A6"/>
          <w:sz w:val="16"/>
          <w:szCs w:val="16"/>
        </w:rPr>
        <w:t xml:space="preserve"> </w:t>
      </w:r>
      <w:r w:rsidRPr="00492D45">
        <w:rPr>
          <w:rFonts w:asciiTheme="majorHAnsi" w:hAnsiTheme="majorHAnsi"/>
          <w:color w:val="A6A6A6"/>
          <w:sz w:val="16"/>
          <w:szCs w:val="16"/>
        </w:rPr>
        <w:t>The Me</w:t>
      </w:r>
      <w:r w:rsidRPr="00492D45">
        <w:rPr>
          <w:rFonts w:asciiTheme="majorHAnsi" w:hAnsiTheme="majorHAnsi"/>
          <w:color w:val="A6A6A6"/>
          <w:sz w:val="16"/>
          <w:szCs w:val="16"/>
        </w:rPr>
        <w:t xml:space="preserve">xican Stock Exchange, commonly known as Mexican Bolsa, Mexbol, or BMV, is the only stock exchange in Mexico. </w:t>
      </w:r>
      <w:r w:rsidRPr="00EA747F">
        <w:rPr>
          <w:rFonts w:asciiTheme="majorHAnsi" w:hAnsiTheme="majorHAnsi"/>
          <w:color w:val="A6A6A6"/>
          <w:sz w:val="16"/>
          <w:szCs w:val="16"/>
        </w:rPr>
        <w:t>The S&amp;P/TSX Composite Index is an index of the stock (equity) prices of the largest companies on the Toronto Stock Exchange (TSX) as measured by ma</w:t>
      </w:r>
      <w:r w:rsidRPr="00EA747F">
        <w:rPr>
          <w:rFonts w:asciiTheme="majorHAnsi" w:hAnsiTheme="majorHAnsi"/>
          <w:color w:val="A6A6A6"/>
          <w:sz w:val="16"/>
          <w:szCs w:val="16"/>
        </w:rPr>
        <w:t xml:space="preserve">rket capitalization. </w:t>
      </w:r>
      <w:r w:rsidRPr="00492D45">
        <w:rPr>
          <w:rFonts w:asciiTheme="majorHAnsi" w:hAnsiTheme="majorHAnsi"/>
          <w:color w:val="A6A6A6"/>
          <w:sz w:val="16"/>
          <w:szCs w:val="16"/>
        </w:rPr>
        <w:t>The All Ordinaries (XAO) is considered a total market barometer for the Australian stock market and contains the 500 largest ASX-listed companies by way of market capitalization.</w:t>
      </w:r>
      <w:r>
        <w:rPr>
          <w:rFonts w:asciiTheme="majorHAnsi" w:hAnsiTheme="majorHAnsi"/>
          <w:color w:val="A6A6A6"/>
          <w:sz w:val="16"/>
          <w:szCs w:val="16"/>
        </w:rPr>
        <w:t xml:space="preserve"> </w:t>
      </w:r>
      <w:r w:rsidRPr="00492D45">
        <w:rPr>
          <w:rFonts w:asciiTheme="majorHAnsi" w:hAnsiTheme="majorHAnsi"/>
          <w:color w:val="A6A6A6"/>
          <w:sz w:val="16"/>
          <w:szCs w:val="16"/>
        </w:rPr>
        <w:t>The IBEX 35 is the benchmark stock market index of the B</w:t>
      </w:r>
      <w:r w:rsidRPr="00492D45">
        <w:rPr>
          <w:rFonts w:asciiTheme="majorHAnsi" w:hAnsiTheme="majorHAnsi"/>
          <w:color w:val="A6A6A6"/>
          <w:sz w:val="16"/>
          <w:szCs w:val="16"/>
        </w:rPr>
        <w:t>olsa de Madrid, Spain’s principal stock exchange.</w:t>
      </w:r>
      <w:r>
        <w:rPr>
          <w:rFonts w:asciiTheme="majorHAnsi" w:hAnsiTheme="majorHAnsi"/>
          <w:color w:val="A6A6A6"/>
          <w:sz w:val="16"/>
          <w:szCs w:val="16"/>
        </w:rPr>
        <w:t xml:space="preserve"> </w:t>
      </w:r>
      <w:r w:rsidRPr="00492D45">
        <w:rPr>
          <w:rFonts w:asciiTheme="majorHAnsi" w:hAnsiTheme="majorHAnsi"/>
          <w:color w:val="A6A6A6"/>
          <w:sz w:val="16"/>
          <w:szCs w:val="16"/>
        </w:rPr>
        <w:t>The BSE SENSEX (Bombay Stock Exchange Sensitive Index), also-called the BSE 30 (BOMBAY STOCK EXCHANGE) or simply the SENSEX, is a free-float market capitalization-weighted stock market index of 30 well-esta</w:t>
      </w:r>
      <w:r w:rsidRPr="00492D45">
        <w:rPr>
          <w:rFonts w:asciiTheme="majorHAnsi" w:hAnsiTheme="majorHAnsi"/>
          <w:color w:val="A6A6A6"/>
          <w:sz w:val="16"/>
          <w:szCs w:val="16"/>
        </w:rPr>
        <w:t>blished and financially sound companies listed on the Bombay Stock Exchange (BSE). The Nifty 50 (NTFE 50) is a well-diversified 50-stock index accounting for 13 sectors of the Indian economy. It is used for a variety of purposes such as benchmarking fund p</w:t>
      </w:r>
      <w:r w:rsidRPr="00492D45">
        <w:rPr>
          <w:rFonts w:asciiTheme="majorHAnsi" w:hAnsiTheme="majorHAnsi"/>
          <w:color w:val="A6A6A6"/>
          <w:sz w:val="16"/>
          <w:szCs w:val="16"/>
        </w:rPr>
        <w:t>ortfolios, index-based derivatives an</w:t>
      </w:r>
      <w:r>
        <w:rPr>
          <w:rFonts w:asciiTheme="majorHAnsi" w:hAnsiTheme="majorHAnsi"/>
          <w:color w:val="A6A6A6"/>
          <w:sz w:val="16"/>
          <w:szCs w:val="16"/>
        </w:rPr>
        <w:t xml:space="preserve">d index funds. </w:t>
      </w:r>
      <w:r w:rsidRPr="00492D45">
        <w:rPr>
          <w:rFonts w:asciiTheme="majorHAnsi" w:hAnsiTheme="majorHAnsi"/>
          <w:color w:val="A6A6A6"/>
          <w:sz w:val="16"/>
          <w:szCs w:val="16"/>
        </w:rPr>
        <w:t xml:space="preserve">The SSE </w:t>
      </w:r>
      <w:r w:rsidRPr="00492D45">
        <w:rPr>
          <w:rFonts w:asciiTheme="majorHAnsi" w:hAnsiTheme="majorHAnsi"/>
          <w:color w:val="A6A6A6" w:themeColor="background1" w:themeShade="A6"/>
          <w:sz w:val="16"/>
          <w:szCs w:val="16"/>
        </w:rPr>
        <w:t xml:space="preserve">Composite Index is an index of all stocks (A shares and B shares) that are traded at the Shanghai Stock Exchange. </w:t>
      </w:r>
      <w:r w:rsidRPr="00492D45">
        <w:rPr>
          <w:rFonts w:asciiTheme="majorHAnsi" w:hAnsiTheme="majorHAnsi"/>
          <w:color w:val="A6A6A6" w:themeColor="background1" w:themeShade="A6"/>
          <w:sz w:val="16"/>
          <w:szCs w:val="16"/>
        </w:rPr>
        <w:t>The MERVAL Index (MERcado de VALores, literally Stock Exchange) is the most import</w:t>
      </w:r>
      <w:r w:rsidRPr="00492D45">
        <w:rPr>
          <w:rFonts w:asciiTheme="majorHAnsi" w:hAnsiTheme="majorHAnsi"/>
          <w:color w:val="A6A6A6" w:themeColor="background1" w:themeShade="A6"/>
          <w:sz w:val="16"/>
          <w:szCs w:val="16"/>
        </w:rPr>
        <w:t>ant index of the Buenos Aires Stock Exchange.</w:t>
      </w:r>
      <w:r w:rsidRPr="00492D45">
        <w:rPr>
          <w:rFonts w:asciiTheme="majorHAnsi" w:hAnsiTheme="majorHAnsi"/>
          <w:color w:val="A6A6A6" w:themeColor="background1" w:themeShade="A6"/>
          <w:sz w:val="16"/>
          <w:szCs w:val="16"/>
        </w:rPr>
        <w:t xml:space="preserve"> The Korea Composite Stock Price Index or KOSPI is the major stock market index of South Korea, representing all common stocks traded on the Korea Exchange.</w:t>
      </w:r>
      <w:r w:rsidRPr="00492D45">
        <w:rPr>
          <w:rFonts w:asciiTheme="majorHAnsi" w:hAnsiTheme="majorHAnsi"/>
          <w:color w:val="A6A6A6" w:themeColor="background1" w:themeShade="A6"/>
          <w:sz w:val="16"/>
          <w:szCs w:val="16"/>
        </w:rPr>
        <w:t xml:space="preserve"> </w:t>
      </w:r>
      <w:r w:rsidRPr="00492D45">
        <w:rPr>
          <w:rFonts w:asciiTheme="majorHAnsi" w:hAnsiTheme="majorHAnsi"/>
          <w:color w:val="A6A6A6" w:themeColor="background1" w:themeShade="A6"/>
          <w:sz w:val="16"/>
          <w:szCs w:val="16"/>
        </w:rPr>
        <w:t>The Hang Seng Index is a free float-adjusted market ca</w:t>
      </w:r>
      <w:r w:rsidRPr="00492D45">
        <w:rPr>
          <w:rFonts w:asciiTheme="majorHAnsi" w:hAnsiTheme="majorHAnsi"/>
          <w:color w:val="A6A6A6" w:themeColor="background1" w:themeShade="A6"/>
          <w:sz w:val="16"/>
          <w:szCs w:val="16"/>
        </w:rPr>
        <w:t xml:space="preserve">pitalization-weighted stock market index that is the main indicator of the overall market performance in Hong Kong. </w:t>
      </w:r>
      <w:r w:rsidRPr="00492D45">
        <w:rPr>
          <w:rFonts w:asciiTheme="majorHAnsi" w:hAnsiTheme="majorHAnsi"/>
          <w:color w:val="A6A6A6" w:themeColor="background1" w:themeShade="A6"/>
          <w:sz w:val="16"/>
          <w:szCs w:val="16"/>
        </w:rPr>
        <w:t>The Bovespa Index is a gross total return index weighted by traded volume &amp; is comprised of the most liquid stocks traded on the Sao Paulo S</w:t>
      </w:r>
      <w:r w:rsidRPr="00492D45">
        <w:rPr>
          <w:rFonts w:asciiTheme="majorHAnsi" w:hAnsiTheme="majorHAnsi"/>
          <w:color w:val="A6A6A6" w:themeColor="background1" w:themeShade="A6"/>
          <w:sz w:val="16"/>
          <w:szCs w:val="16"/>
        </w:rPr>
        <w:t>tock Exchange.</w:t>
      </w:r>
      <w:r w:rsidRPr="00492D45">
        <w:rPr>
          <w:rFonts w:asciiTheme="majorHAnsi" w:hAnsiTheme="majorHAnsi"/>
          <w:color w:val="A6A6A6" w:themeColor="background1" w:themeShade="A6"/>
          <w:sz w:val="16"/>
          <w:szCs w:val="16"/>
        </w:rPr>
        <w:t xml:space="preserve"> The DAX 30 is a Blue-Chip stock market index consisting of the 30 major German companies trading on the Frankfurt Stock Exchange. The CAC-40 Index is a narrow-based, modified capitalization-weighted index of 40 companies listed on the Paris </w:t>
      </w:r>
      <w:r w:rsidRPr="00492D45">
        <w:rPr>
          <w:rFonts w:asciiTheme="majorHAnsi" w:hAnsiTheme="majorHAnsi"/>
          <w:color w:val="A6A6A6" w:themeColor="background1" w:themeShade="A6"/>
          <w:sz w:val="16"/>
          <w:szCs w:val="16"/>
        </w:rPr>
        <w:t xml:space="preserve">Bourse. The FTSEurofirst 300 Index comprises the 300 largest companies ranked by market capitalisation in the </w:t>
      </w:r>
      <w:r w:rsidRPr="001E2126">
        <w:rPr>
          <w:rFonts w:asciiTheme="majorHAnsi" w:hAnsiTheme="majorHAnsi"/>
          <w:color w:val="A6A6A6" w:themeColor="background1" w:themeShade="A6"/>
          <w:sz w:val="16"/>
          <w:szCs w:val="16"/>
        </w:rPr>
        <w:t>FTSE Developed Europe Index. Nikkei 225 (Ticker: ^N225) is a stock market index for the Tokyo Stock Exchange (TSE). The Nikkei average is the most</w:t>
      </w:r>
      <w:r w:rsidRPr="001E2126">
        <w:rPr>
          <w:rFonts w:asciiTheme="majorHAnsi" w:hAnsiTheme="majorHAnsi"/>
          <w:color w:val="A6A6A6" w:themeColor="background1" w:themeShade="A6"/>
          <w:sz w:val="16"/>
          <w:szCs w:val="16"/>
        </w:rPr>
        <w:t xml:space="preserve"> watched index of Asian stocks. The MSCI World Index is a free-float weighted equity index that includes developed world markets, and does not include emerging markets.</w:t>
      </w:r>
      <w:r w:rsidRPr="001E2126">
        <w:rPr>
          <w:rFonts w:asciiTheme="majorHAnsi" w:hAnsiTheme="majorHAnsi"/>
          <w:color w:val="A6A6A6" w:themeColor="background1" w:themeShade="A6"/>
          <w:sz w:val="16"/>
          <w:szCs w:val="16"/>
        </w:rPr>
        <w:t xml:space="preserve"> </w:t>
      </w:r>
      <w:r w:rsidRPr="001E2126">
        <w:rPr>
          <w:rFonts w:asciiTheme="majorHAnsi" w:hAnsiTheme="majorHAnsi"/>
          <w:color w:val="A6A6A6" w:themeColor="background1" w:themeShade="A6"/>
          <w:sz w:val="16"/>
        </w:rPr>
        <w:t xml:space="preserve">The MSCI Emerging Markets Index is a float-adjusted market capitalization index </w:t>
      </w:r>
      <w:r w:rsidRPr="001E2126">
        <w:rPr>
          <w:rFonts w:asciiTheme="majorHAnsi" w:hAnsiTheme="majorHAnsi"/>
          <w:color w:val="A6A6A6" w:themeColor="background1" w:themeShade="A6"/>
          <w:sz w:val="16"/>
        </w:rPr>
        <w:t>consisting of indices in more than 25 emerging economies.</w:t>
      </w:r>
      <w:r w:rsidRPr="001E2126">
        <w:rPr>
          <w:rFonts w:asciiTheme="majorHAnsi" w:hAnsiTheme="majorHAnsi"/>
          <w:color w:val="A6A6A6" w:themeColor="background1" w:themeShade="A6"/>
          <w:sz w:val="16"/>
          <w:szCs w:val="16"/>
        </w:rPr>
        <w:t xml:space="preserve"> The US Dollar Index measures the performance of the U.S. dollar against a basket of six currencies. </w:t>
      </w:r>
      <w:r w:rsidRPr="001E2126">
        <w:rPr>
          <w:rFonts w:asciiTheme="majorHAnsi" w:hAnsiTheme="majorHAnsi"/>
          <w:color w:val="A6A6A6" w:themeColor="background1" w:themeShade="A6"/>
          <w:sz w:val="16"/>
          <w:szCs w:val="16"/>
        </w:rPr>
        <w:t>The NASDAQ-100 is a stock market index made up of 103 equity securities issued by 100 of the large</w:t>
      </w:r>
      <w:r w:rsidRPr="001E2126">
        <w:rPr>
          <w:rFonts w:asciiTheme="majorHAnsi" w:hAnsiTheme="majorHAnsi"/>
          <w:color w:val="A6A6A6" w:themeColor="background1" w:themeShade="A6"/>
          <w:sz w:val="16"/>
          <w:szCs w:val="16"/>
        </w:rPr>
        <w:t xml:space="preserve">st non-financial companies listed on the NASDAQ. It is a modified capitalization-weighted index. </w:t>
      </w:r>
      <w:r w:rsidRPr="001E2126">
        <w:rPr>
          <w:rFonts w:asciiTheme="majorHAnsi" w:hAnsiTheme="majorHAnsi"/>
          <w:color w:val="A6A6A6" w:themeColor="background1" w:themeShade="A6"/>
          <w:sz w:val="16"/>
          <w:szCs w:val="16"/>
        </w:rPr>
        <w:t>The NYSE Arca Biotechnology Index</w:t>
      </w:r>
      <w:r w:rsidRPr="001E2126">
        <w:rPr>
          <w:rFonts w:asciiTheme="majorHAnsi" w:hAnsiTheme="majorHAnsi"/>
          <w:color w:val="A6A6A6" w:themeColor="background1" w:themeShade="A6"/>
          <w:sz w:val="16"/>
          <w:szCs w:val="16"/>
          <w:vertAlign w:val="superscript"/>
        </w:rPr>
        <w:t>SM</w:t>
      </w:r>
      <w:r w:rsidRPr="001E2126">
        <w:rPr>
          <w:rFonts w:asciiTheme="majorHAnsi" w:hAnsiTheme="majorHAnsi"/>
          <w:color w:val="A6A6A6" w:themeColor="background1" w:themeShade="A6"/>
          <w:sz w:val="16"/>
          <w:szCs w:val="16"/>
        </w:rPr>
        <w:t xml:space="preserve"> is an equal dollar weighted index designed to measure the performance of a cross section of companies in the biotechnology </w:t>
      </w:r>
      <w:r w:rsidRPr="001E2126">
        <w:rPr>
          <w:rFonts w:asciiTheme="majorHAnsi" w:hAnsiTheme="majorHAnsi"/>
          <w:color w:val="A6A6A6" w:themeColor="background1" w:themeShade="A6"/>
          <w:sz w:val="16"/>
          <w:szCs w:val="16"/>
        </w:rPr>
        <w:t xml:space="preserve">industry that are primarily involved in the use of biological processes to develop products or provide services. </w:t>
      </w:r>
      <w:r w:rsidRPr="001E2126">
        <w:rPr>
          <w:rFonts w:asciiTheme="majorHAnsi" w:hAnsiTheme="majorHAnsi" w:cs="Arial"/>
          <w:color w:val="A6A6A6" w:themeColor="background1" w:themeShade="A6"/>
          <w:sz w:val="16"/>
          <w:szCs w:val="16"/>
        </w:rPr>
        <w:t>Additional risks are associated with international investing, such as currency fluctuations, political and economic instability and differences</w:t>
      </w:r>
      <w:r w:rsidRPr="001E2126">
        <w:rPr>
          <w:rFonts w:asciiTheme="majorHAnsi" w:hAnsiTheme="majorHAnsi" w:cs="Arial"/>
          <w:color w:val="A6A6A6" w:themeColor="background1" w:themeShade="A6"/>
          <w:sz w:val="16"/>
          <w:szCs w:val="16"/>
        </w:rPr>
        <w:t xml:space="preserve"> in accounting standards. This material represents an assessment of the market environment at a specific point in time </w:t>
      </w:r>
      <w:r w:rsidRPr="006B0FF7">
        <w:rPr>
          <w:rFonts w:asciiTheme="majorHAnsi" w:hAnsiTheme="majorHAnsi" w:cs="Arial"/>
          <w:color w:val="A6A6A6"/>
          <w:sz w:val="16"/>
          <w:szCs w:val="16"/>
        </w:rPr>
        <w:t>and is not intended to be a forecast of future events, or a guarantee of future results. MarketingPro, Inc. is not affiliated with any pe</w:t>
      </w:r>
      <w:r w:rsidRPr="006B0FF7">
        <w:rPr>
          <w:rFonts w:asciiTheme="majorHAnsi" w:hAnsiTheme="majorHAnsi" w:cs="Arial"/>
          <w:color w:val="A6A6A6"/>
          <w:sz w:val="16"/>
          <w:szCs w:val="16"/>
        </w:rPr>
        <w:t>rson or firm that may be providing this information to you. The publisher is not engaged in rendering legal, accounting or other professional services. If assistance is needed, the reader is advised to engage the services of a competent professional</w:t>
      </w:r>
      <w:r w:rsidRPr="006B0FF7">
        <w:rPr>
          <w:rFonts w:asciiTheme="majorHAnsi" w:hAnsiTheme="majorHAnsi"/>
          <w:color w:val="A6A6A6"/>
          <w:sz w:val="16"/>
          <w:szCs w:val="16"/>
        </w:rPr>
        <w:t>.</w:t>
      </w:r>
    </w:p>
    <w:p w:rsidR="00237981" w:rsidRDefault="001F5FE3" w:rsidP="00FA7533">
      <w:pPr>
        <w:spacing w:line="276" w:lineRule="auto"/>
        <w:rPr>
          <w:rFonts w:asciiTheme="majorHAnsi" w:hAnsiTheme="majorHAnsi" w:cs="Arial"/>
          <w:color w:val="A6A6A6" w:themeColor="background1" w:themeShade="A6"/>
          <w:sz w:val="16"/>
          <w:szCs w:val="16"/>
        </w:rPr>
      </w:pPr>
      <w:r>
        <w:rPr>
          <w:rFonts w:asciiTheme="majorHAnsi" w:hAnsiTheme="majorHAnsi" w:cs="Arial"/>
          <w:color w:val="A6A6A6" w:themeColor="background1" w:themeShade="A6"/>
          <w:sz w:val="16"/>
          <w:szCs w:val="16"/>
        </w:rPr>
        <w:t>CITAT</w:t>
      </w:r>
      <w:r>
        <w:rPr>
          <w:rFonts w:asciiTheme="majorHAnsi" w:hAnsiTheme="majorHAnsi" w:cs="Arial"/>
          <w:color w:val="A6A6A6" w:themeColor="background1" w:themeShade="A6"/>
          <w:sz w:val="16"/>
          <w:szCs w:val="16"/>
        </w:rPr>
        <w:t>IONS:</w:t>
      </w:r>
    </w:p>
    <w:p w:rsidR="00475AD8" w:rsidRPr="004427AF" w:rsidRDefault="001F5FE3" w:rsidP="00F645D7">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 xml:space="preserve">1 - quotes.wsj.com/index/SPX [6/29/18] </w:t>
      </w:r>
    </w:p>
    <w:p w:rsidR="00106B2B" w:rsidRPr="004427AF" w:rsidRDefault="001F5FE3" w:rsidP="00475AD8">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 xml:space="preserve">2 - </w:t>
      </w:r>
      <w:r w:rsidRPr="004427AF">
        <w:rPr>
          <w:rFonts w:asciiTheme="majorHAnsi" w:hAnsiTheme="majorHAnsi" w:cstheme="majorHAnsi"/>
          <w:color w:val="A6A6A6" w:themeColor="background1" w:themeShade="A6"/>
          <w:sz w:val="16"/>
          <w:szCs w:val="16"/>
        </w:rPr>
        <w:t>marketwatch.com/story/trade-war-tracker-here-are-the-new-levies-imposed-and-threatened-2018-06-22 [6</w:t>
      </w:r>
      <w:r w:rsidRPr="004427AF">
        <w:rPr>
          <w:rFonts w:asciiTheme="majorHAnsi" w:hAnsiTheme="majorHAnsi" w:cstheme="majorHAnsi"/>
          <w:color w:val="A6A6A6" w:themeColor="background1" w:themeShade="A6"/>
          <w:sz w:val="16"/>
          <w:szCs w:val="16"/>
        </w:rPr>
        <w:t>/</w:t>
      </w:r>
      <w:r w:rsidRPr="004427AF">
        <w:rPr>
          <w:rFonts w:asciiTheme="majorHAnsi" w:hAnsiTheme="majorHAnsi" w:cstheme="majorHAnsi"/>
          <w:color w:val="A6A6A6" w:themeColor="background1" w:themeShade="A6"/>
          <w:sz w:val="16"/>
          <w:szCs w:val="16"/>
        </w:rPr>
        <w:t>22</w:t>
      </w:r>
      <w:r w:rsidRPr="004427AF">
        <w:rPr>
          <w:rFonts w:asciiTheme="majorHAnsi" w:hAnsiTheme="majorHAnsi" w:cstheme="majorHAnsi"/>
          <w:color w:val="A6A6A6" w:themeColor="background1" w:themeShade="A6"/>
          <w:sz w:val="16"/>
          <w:szCs w:val="16"/>
        </w:rPr>
        <w:t xml:space="preserve">/18]  </w:t>
      </w:r>
    </w:p>
    <w:p w:rsidR="00826742" w:rsidRPr="004427AF" w:rsidRDefault="001F5FE3" w:rsidP="00475AD8">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lastRenderedPageBreak/>
        <w:t>3</w:t>
      </w:r>
      <w:r w:rsidRPr="004427AF">
        <w:rPr>
          <w:rFonts w:asciiTheme="majorHAnsi" w:hAnsiTheme="majorHAnsi" w:cstheme="majorHAnsi"/>
          <w:color w:val="A6A6A6" w:themeColor="background1" w:themeShade="A6"/>
          <w:sz w:val="16"/>
          <w:szCs w:val="16"/>
        </w:rPr>
        <w:t xml:space="preserve"> - investing.com/economic-calendar/ [</w:t>
      </w:r>
      <w:r w:rsidRPr="004427AF">
        <w:rPr>
          <w:rFonts w:asciiTheme="majorHAnsi" w:hAnsiTheme="majorHAnsi" w:cstheme="majorHAnsi"/>
          <w:color w:val="A6A6A6" w:themeColor="background1" w:themeShade="A6"/>
          <w:sz w:val="16"/>
          <w:szCs w:val="16"/>
        </w:rPr>
        <w:t>6</w:t>
      </w:r>
      <w:r w:rsidRPr="004427AF">
        <w:rPr>
          <w:rFonts w:asciiTheme="majorHAnsi" w:hAnsiTheme="majorHAnsi" w:cstheme="majorHAnsi"/>
          <w:color w:val="A6A6A6" w:themeColor="background1" w:themeShade="A6"/>
          <w:sz w:val="16"/>
          <w:szCs w:val="16"/>
        </w:rPr>
        <w:t>/</w:t>
      </w:r>
      <w:r w:rsidRPr="004427AF">
        <w:rPr>
          <w:rFonts w:asciiTheme="majorHAnsi" w:hAnsiTheme="majorHAnsi" w:cstheme="majorHAnsi"/>
          <w:color w:val="A6A6A6" w:themeColor="background1" w:themeShade="A6"/>
          <w:sz w:val="16"/>
          <w:szCs w:val="16"/>
        </w:rPr>
        <w:t>30</w:t>
      </w:r>
      <w:r w:rsidRPr="004427AF">
        <w:rPr>
          <w:rFonts w:asciiTheme="majorHAnsi" w:hAnsiTheme="majorHAnsi" w:cstheme="majorHAnsi"/>
          <w:color w:val="A6A6A6" w:themeColor="background1" w:themeShade="A6"/>
          <w:sz w:val="16"/>
          <w:szCs w:val="16"/>
        </w:rPr>
        <w:t>/18]</w:t>
      </w:r>
    </w:p>
    <w:p w:rsidR="00222E44" w:rsidRPr="004427AF" w:rsidRDefault="001F5FE3" w:rsidP="00222E44">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 xml:space="preserve">4 - </w:t>
      </w:r>
      <w:r w:rsidRPr="004427AF">
        <w:rPr>
          <w:rFonts w:asciiTheme="majorHAnsi" w:hAnsiTheme="majorHAnsi" w:cstheme="majorHAnsi"/>
          <w:color w:val="A6A6A6" w:themeColor="background1" w:themeShade="A6"/>
          <w:sz w:val="16"/>
          <w:szCs w:val="16"/>
        </w:rPr>
        <w:t>marketwatch.com/economy-politics/calendars/economic [6/29/18]</w:t>
      </w:r>
    </w:p>
    <w:p w:rsidR="00B75D36" w:rsidRPr="004427AF" w:rsidRDefault="001F5FE3" w:rsidP="00B75D36">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5 - reuters.com/article/usa-economy/wrapup-1-u-s-core-pce-price-index-hits-2-0-percent-spending-slows-idUSL1N1TU1BT [6/29/18]</w:t>
      </w:r>
    </w:p>
    <w:p w:rsidR="00B75D36" w:rsidRPr="004427AF" w:rsidRDefault="001F5FE3" w:rsidP="00B75D36">
      <w:pPr>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 xml:space="preserve">6 - </w:t>
      </w:r>
      <w:r w:rsidRPr="004427AF">
        <w:rPr>
          <w:rFonts w:asciiTheme="majorHAnsi" w:hAnsiTheme="majorHAnsi" w:cstheme="majorHAnsi"/>
          <w:color w:val="A6A6A6" w:themeColor="background1" w:themeShade="A6"/>
          <w:sz w:val="16"/>
          <w:szCs w:val="16"/>
        </w:rPr>
        <w:t>forbes.com/sites/advisor/2018/06/19/fed-now-hinting-at-four-pote</w:t>
      </w:r>
      <w:r w:rsidRPr="004427AF">
        <w:rPr>
          <w:rFonts w:asciiTheme="majorHAnsi" w:hAnsiTheme="majorHAnsi" w:cstheme="majorHAnsi"/>
          <w:color w:val="A6A6A6" w:themeColor="background1" w:themeShade="A6"/>
          <w:sz w:val="16"/>
          <w:szCs w:val="16"/>
        </w:rPr>
        <w:t>ntial-rate-hikes-in-2018/</w:t>
      </w:r>
      <w:r w:rsidRPr="004427AF">
        <w:rPr>
          <w:rFonts w:asciiTheme="majorHAnsi" w:hAnsiTheme="majorHAnsi" w:cstheme="majorHAnsi"/>
          <w:color w:val="A6A6A6" w:themeColor="background1" w:themeShade="A6"/>
          <w:sz w:val="16"/>
          <w:szCs w:val="16"/>
        </w:rPr>
        <w:t xml:space="preserve"> [6/</w:t>
      </w:r>
      <w:r w:rsidRPr="004427AF">
        <w:rPr>
          <w:rFonts w:asciiTheme="majorHAnsi" w:hAnsiTheme="majorHAnsi" w:cstheme="majorHAnsi"/>
          <w:color w:val="A6A6A6" w:themeColor="background1" w:themeShade="A6"/>
          <w:sz w:val="16"/>
          <w:szCs w:val="16"/>
        </w:rPr>
        <w:t>19</w:t>
      </w:r>
      <w:r w:rsidRPr="004427AF">
        <w:rPr>
          <w:rFonts w:asciiTheme="majorHAnsi" w:hAnsiTheme="majorHAnsi" w:cstheme="majorHAnsi"/>
          <w:color w:val="A6A6A6" w:themeColor="background1" w:themeShade="A6"/>
          <w:sz w:val="16"/>
          <w:szCs w:val="16"/>
        </w:rPr>
        <w:t>/18]</w:t>
      </w:r>
    </w:p>
    <w:p w:rsidR="00826742" w:rsidRPr="004427AF" w:rsidRDefault="001F5FE3" w:rsidP="006C31E0">
      <w:pPr>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7 - marketwatch.com/story/new-warnings-about-cuts-to-social-security-and-medicare-are-a-reason-to-worry-2018-06-07 [6/7/18]</w:t>
      </w:r>
    </w:p>
    <w:p w:rsidR="00B316B0" w:rsidRPr="004427AF" w:rsidRDefault="001F5FE3" w:rsidP="00B316B0">
      <w:pPr>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 xml:space="preserve">8 - </w:t>
      </w:r>
      <w:r w:rsidRPr="004427AF">
        <w:rPr>
          <w:rFonts w:asciiTheme="majorHAnsi" w:hAnsiTheme="majorHAnsi" w:cstheme="majorHAnsi"/>
          <w:color w:val="A6A6A6" w:themeColor="background1" w:themeShade="A6"/>
          <w:sz w:val="16"/>
          <w:szCs w:val="16"/>
        </w:rPr>
        <w:t>bloombergquint.com/china/2018/06/30/china-factory-gauge-slips-in-june-as-credit-squeeze-hits-output [6/30/18]</w:t>
      </w:r>
    </w:p>
    <w:p w:rsidR="00E7350E" w:rsidRPr="004427AF" w:rsidRDefault="001F5FE3" w:rsidP="00826742">
      <w:pPr>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9 - bloomberg.com/news/articles/2018-06-29/trump-given-eu-warning-that-car-tariffs-would-prompt-retaliation [6/29/18]</w:t>
      </w:r>
    </w:p>
    <w:p w:rsidR="00826742" w:rsidRPr="004427AF" w:rsidRDefault="001F5FE3" w:rsidP="00826742">
      <w:pPr>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10 - markets.on.nytimes.com/</w:t>
      </w:r>
      <w:r w:rsidRPr="004427AF">
        <w:rPr>
          <w:rFonts w:asciiTheme="majorHAnsi" w:hAnsiTheme="majorHAnsi" w:cstheme="majorHAnsi"/>
          <w:color w:val="A6A6A6" w:themeColor="background1" w:themeShade="A6"/>
          <w:sz w:val="16"/>
          <w:szCs w:val="16"/>
        </w:rPr>
        <w:t>research/markets/worldmarkets/worldmarkets.asp [6/29/18]</w:t>
      </w:r>
    </w:p>
    <w:p w:rsidR="00826742" w:rsidRPr="004427AF" w:rsidRDefault="001F5FE3" w:rsidP="00826742">
      <w:pPr>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11 - msci.com/end-of-day-data-search [6/29/18]</w:t>
      </w:r>
    </w:p>
    <w:p w:rsidR="00F645D7" w:rsidRPr="004427AF" w:rsidRDefault="001F5FE3" w:rsidP="00F645D7">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12 - money.cnn.com/data/commodities [6/29/18]</w:t>
      </w:r>
    </w:p>
    <w:p w:rsidR="006161AC" w:rsidRPr="004427AF" w:rsidRDefault="001F5FE3" w:rsidP="00F645D7">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13 - marketwatch.com/investing/index/dxy/historical [6/29/18]</w:t>
      </w:r>
    </w:p>
    <w:p w:rsidR="003A2E11" w:rsidRPr="004427AF" w:rsidRDefault="001F5FE3" w:rsidP="003A2E11">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14</w:t>
      </w:r>
      <w:r w:rsidRPr="004427AF">
        <w:rPr>
          <w:rFonts w:asciiTheme="majorHAnsi" w:hAnsiTheme="majorHAnsi" w:cstheme="majorHAnsi"/>
          <w:color w:val="A6A6A6" w:themeColor="background1" w:themeShade="A6"/>
          <w:sz w:val="16"/>
          <w:szCs w:val="16"/>
        </w:rPr>
        <w:t xml:space="preserve"> - bloomberg.com/news/articles/2018-06-25/u-s-new-home-sales-climb-to-six-month-high-on-surge-in-south [6/25/18]</w:t>
      </w:r>
    </w:p>
    <w:p w:rsidR="00C95BBB" w:rsidRPr="004427AF" w:rsidRDefault="001F5FE3" w:rsidP="00475AD8">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15 - freddiemac.com/pmms/archive.html [6/29/18]</w:t>
      </w:r>
    </w:p>
    <w:p w:rsidR="00FB4270" w:rsidRPr="004427AF" w:rsidRDefault="001F5FE3" w:rsidP="00FB4270">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16 - markets.wsj.com/us [6/29/18]</w:t>
      </w:r>
    </w:p>
    <w:p w:rsidR="000228B2" w:rsidRPr="004427AF" w:rsidRDefault="001F5FE3" w:rsidP="000228B2">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17 - bigchar</w:t>
      </w:r>
      <w:r w:rsidRPr="004427AF">
        <w:rPr>
          <w:rFonts w:asciiTheme="majorHAnsi" w:hAnsiTheme="majorHAnsi" w:cstheme="majorHAnsi"/>
          <w:color w:val="A6A6A6" w:themeColor="background1" w:themeShade="A6"/>
          <w:sz w:val="16"/>
          <w:szCs w:val="16"/>
        </w:rPr>
        <w:t>ts.marketwatch.com/historical/default.asp?symb=DJIA&amp;closeDate=6%2F29%2F17&amp;x=0&amp;y=0 [6/29/18]</w:t>
      </w:r>
    </w:p>
    <w:p w:rsidR="000228B2" w:rsidRPr="004427AF" w:rsidRDefault="001F5FE3" w:rsidP="000228B2">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17 - bigcharts.marketwatch.com/historical/default.asp?symb=COMP&amp;closeDate=6%2F29%2F17&amp;x=0&amp;y=0 [6/29/18]</w:t>
      </w:r>
      <w:r w:rsidRPr="004427AF">
        <w:rPr>
          <w:rFonts w:asciiTheme="majorHAnsi" w:hAnsiTheme="majorHAnsi" w:cstheme="majorHAnsi"/>
          <w:noProof/>
          <w:color w:val="A6A6A6" w:themeColor="background1" w:themeShade="A6"/>
          <w:sz w:val="16"/>
          <w:szCs w:val="16"/>
        </w:rPr>
        <w:t xml:space="preserve"> </w:t>
      </w:r>
    </w:p>
    <w:p w:rsidR="000228B2" w:rsidRPr="004427AF" w:rsidRDefault="001F5FE3" w:rsidP="000228B2">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17 - bigcharts.marketwatch.com/historical/default.asp?symb=</w:t>
      </w:r>
      <w:r w:rsidRPr="004427AF">
        <w:rPr>
          <w:rFonts w:asciiTheme="majorHAnsi" w:hAnsiTheme="majorHAnsi" w:cstheme="majorHAnsi"/>
          <w:color w:val="A6A6A6" w:themeColor="background1" w:themeShade="A6"/>
          <w:sz w:val="16"/>
          <w:szCs w:val="16"/>
        </w:rPr>
        <w:t>SPX&amp;closeDate=6%2F29%2F17&amp;x=0&amp;y=0 [6/29/18]</w:t>
      </w:r>
      <w:r w:rsidRPr="004427AF">
        <w:rPr>
          <w:rFonts w:asciiTheme="majorHAnsi" w:hAnsiTheme="majorHAnsi" w:cstheme="majorHAnsi"/>
          <w:noProof/>
          <w:color w:val="A6A6A6" w:themeColor="background1" w:themeShade="A6"/>
          <w:sz w:val="16"/>
          <w:szCs w:val="16"/>
        </w:rPr>
        <w:t xml:space="preserve"> </w:t>
      </w:r>
    </w:p>
    <w:p w:rsidR="000228B2" w:rsidRPr="004427AF" w:rsidRDefault="001F5FE3" w:rsidP="000228B2">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17 - bigcharts.marketwatch.com/historical/default.asp?symb=DJIA&amp;closeDate=6%2F28%2F13&amp;x=0&amp;y=0 [6/29/18]</w:t>
      </w:r>
    </w:p>
    <w:p w:rsidR="000228B2" w:rsidRPr="004427AF" w:rsidRDefault="001F5FE3" w:rsidP="000228B2">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17 - bigcharts.marketwatch.com/historical/default.asp?symb=COMP&amp;closeDate=6%2F28%2F13&amp;x=0&amp;y=0 [6/29/18]</w:t>
      </w:r>
    </w:p>
    <w:p w:rsidR="000228B2" w:rsidRPr="004427AF" w:rsidRDefault="001F5FE3" w:rsidP="000228B2">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 xml:space="preserve">17 </w:t>
      </w:r>
      <w:r w:rsidRPr="004427AF">
        <w:rPr>
          <w:rFonts w:asciiTheme="majorHAnsi" w:hAnsiTheme="majorHAnsi" w:cstheme="majorHAnsi"/>
          <w:color w:val="A6A6A6" w:themeColor="background1" w:themeShade="A6"/>
          <w:sz w:val="16"/>
          <w:szCs w:val="16"/>
        </w:rPr>
        <w:t>- bigcharts.marketwatch.com/historical/default.asp?symb=SPX&amp;closeDate=6%2F28%2F13&amp;x=0&amp;y=0 [6/29/18]</w:t>
      </w:r>
    </w:p>
    <w:p w:rsidR="000228B2" w:rsidRPr="004427AF" w:rsidRDefault="001F5FE3" w:rsidP="000228B2">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17 - bigcharts.marketwatch.com/historical/default.asp?symb=DJIA&amp;closeDate=6%2F30%2F08&amp;x=0&amp;y=0 [6/29/18]</w:t>
      </w:r>
    </w:p>
    <w:p w:rsidR="000228B2" w:rsidRPr="004427AF" w:rsidRDefault="001F5FE3" w:rsidP="000228B2">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17 - bigcharts.marketwatch.com/historical/default.as</w:t>
      </w:r>
      <w:r w:rsidRPr="004427AF">
        <w:rPr>
          <w:rFonts w:asciiTheme="majorHAnsi" w:hAnsiTheme="majorHAnsi" w:cstheme="majorHAnsi"/>
          <w:color w:val="A6A6A6" w:themeColor="background1" w:themeShade="A6"/>
          <w:sz w:val="16"/>
          <w:szCs w:val="16"/>
        </w:rPr>
        <w:t>p?symb=COMP&amp;closeDate=6%2F30%2F08&amp;x=0&amp;y=0 [6/29/18]</w:t>
      </w:r>
    </w:p>
    <w:p w:rsidR="000228B2" w:rsidRPr="004427AF" w:rsidRDefault="001F5FE3" w:rsidP="000228B2">
      <w:pPr>
        <w:spacing w:line="276" w:lineRule="auto"/>
        <w:rPr>
          <w:rFonts w:asciiTheme="majorHAnsi" w:hAnsiTheme="majorHAnsi" w:cstheme="majorHAnsi"/>
          <w:noProof/>
          <w:color w:val="A6A6A6" w:themeColor="background1" w:themeShade="A6"/>
          <w:sz w:val="16"/>
          <w:szCs w:val="16"/>
        </w:rPr>
      </w:pPr>
      <w:r w:rsidRPr="004427AF">
        <w:rPr>
          <w:rFonts w:asciiTheme="majorHAnsi" w:hAnsiTheme="majorHAnsi" w:cstheme="majorHAnsi"/>
          <w:color w:val="A6A6A6" w:themeColor="background1" w:themeShade="A6"/>
          <w:sz w:val="16"/>
          <w:szCs w:val="16"/>
        </w:rPr>
        <w:t>17 - bigcharts.marketwatch.com/historical/default.asp?symb=SPX&amp;closeDate=6%2F30%2F08&amp;x=0&amp;y=0 [6/29/18]</w:t>
      </w:r>
    </w:p>
    <w:p w:rsidR="000228B2" w:rsidRPr="004427AF" w:rsidRDefault="001F5FE3" w:rsidP="000228B2">
      <w:pPr>
        <w:spacing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18 - treasury.gov/resource-center/data-chart-center/interest-rates/Pages/TextView.aspx?data=realyield</w:t>
      </w:r>
      <w:r w:rsidRPr="004427AF">
        <w:rPr>
          <w:rFonts w:asciiTheme="majorHAnsi" w:hAnsiTheme="majorHAnsi" w:cstheme="majorHAnsi"/>
          <w:color w:val="A6A6A6" w:themeColor="background1" w:themeShade="A6"/>
          <w:sz w:val="16"/>
          <w:szCs w:val="16"/>
        </w:rPr>
        <w:t xml:space="preserve"> [6/29/18]</w:t>
      </w:r>
    </w:p>
    <w:p w:rsidR="000228B2" w:rsidRPr="004427AF" w:rsidRDefault="001F5FE3" w:rsidP="000228B2">
      <w:pPr>
        <w:spacing w:line="276" w:lineRule="auto"/>
        <w:rPr>
          <w:rStyle w:val="st"/>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19 - treasury.gov/resource-center/data-chart-center/interest-rates/Pages/TextView.aspx?data=realyieldAll [6/29/18]</w:t>
      </w:r>
    </w:p>
    <w:p w:rsidR="00D113B7" w:rsidRPr="004427AF" w:rsidRDefault="001F5FE3" w:rsidP="00F645D7">
      <w:pPr>
        <w:spacing w:after="0" w:line="276" w:lineRule="auto"/>
        <w:rPr>
          <w:rFonts w:asciiTheme="majorHAnsi" w:hAnsiTheme="majorHAnsi" w:cstheme="majorHAnsi"/>
          <w:color w:val="A6A6A6" w:themeColor="background1" w:themeShade="A6"/>
          <w:sz w:val="16"/>
          <w:szCs w:val="16"/>
        </w:rPr>
      </w:pPr>
      <w:r w:rsidRPr="004427AF">
        <w:rPr>
          <w:rFonts w:asciiTheme="majorHAnsi" w:hAnsiTheme="majorHAnsi" w:cstheme="majorHAnsi"/>
          <w:color w:val="A6A6A6" w:themeColor="background1" w:themeShade="A6"/>
          <w:sz w:val="16"/>
          <w:szCs w:val="16"/>
        </w:rPr>
        <w:t>20</w:t>
      </w:r>
      <w:r w:rsidRPr="004427AF">
        <w:rPr>
          <w:rFonts w:asciiTheme="majorHAnsi" w:hAnsiTheme="majorHAnsi" w:cstheme="majorHAnsi"/>
          <w:color w:val="A6A6A6" w:themeColor="background1" w:themeShade="A6"/>
          <w:sz w:val="16"/>
          <w:szCs w:val="16"/>
        </w:rPr>
        <w:t xml:space="preserve"> - marketwatch.com/story/investors-look-to-the-second-half-of-2018-expecting-growthamid-rising-uncertainties-2018-06-30 [6/30/18</w:t>
      </w:r>
      <w:r w:rsidRPr="004427AF">
        <w:rPr>
          <w:rFonts w:asciiTheme="majorHAnsi" w:hAnsiTheme="majorHAnsi" w:cstheme="majorHAnsi"/>
          <w:color w:val="A6A6A6" w:themeColor="background1" w:themeShade="A6"/>
          <w:sz w:val="16"/>
          <w:szCs w:val="16"/>
        </w:rPr>
        <w:t>]</w:t>
      </w:r>
    </w:p>
    <w:sectPr w:rsidR="00D113B7" w:rsidRPr="004427AF"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E6"/>
    <w:rsid w:val="001F5FE3"/>
    <w:rsid w:val="00E3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E3"/>
    <w:rPr>
      <w:rFonts w:ascii="Tahoma" w:hAnsi="Tahoma" w:cs="Tahoma"/>
      <w:sz w:val="16"/>
      <w:szCs w:val="16"/>
    </w:rPr>
  </w:style>
  <w:style w:type="paragraph" w:customStyle="1" w:styleId="BasicParagraph">
    <w:name w:val="[Basic Paragraph]"/>
    <w:basedOn w:val="Normal"/>
    <w:uiPriority w:val="99"/>
    <w:rsid w:val="001F5FE3"/>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E3"/>
    <w:rPr>
      <w:rFonts w:ascii="Tahoma" w:hAnsi="Tahoma" w:cs="Tahoma"/>
      <w:sz w:val="16"/>
      <w:szCs w:val="16"/>
    </w:rPr>
  </w:style>
  <w:style w:type="paragraph" w:customStyle="1" w:styleId="BasicParagraph">
    <w:name w:val="[Basic Paragraph]"/>
    <w:basedOn w:val="Normal"/>
    <w:uiPriority w:val="99"/>
    <w:rsid w:val="001F5FE3"/>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Kelly Hass</cp:lastModifiedBy>
  <cp:revision>2</cp:revision>
  <dcterms:created xsi:type="dcterms:W3CDTF">2018-07-05T18:05:00Z</dcterms:created>
  <dcterms:modified xsi:type="dcterms:W3CDTF">2018-07-05T18:05:00Z</dcterms:modified>
</cp:coreProperties>
</file>