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A8A" w:rsidRPr="00F111A0" w:rsidRDefault="00861533" w:rsidP="00B76A8A">
      <w:pPr>
        <w:spacing w:before="160" w:line="240" w:lineRule="auto"/>
        <w:jc w:val="center"/>
        <w:rPr>
          <w:rFonts w:asciiTheme="majorHAnsi" w:hAnsiTheme="majorHAnsi" w:cs="Times New Roman"/>
          <w:i/>
          <w:sz w:val="28"/>
          <w:szCs w:val="24"/>
        </w:rPr>
      </w:pPr>
      <w:bookmarkStart w:id="0" w:name="_Hlk2586686"/>
      <w:r w:rsidRPr="00F111A0">
        <w:rPr>
          <w:rFonts w:asciiTheme="majorHAnsi" w:hAnsiTheme="majorHAnsi" w:cs="Times New Roman"/>
          <w:i/>
          <w:sz w:val="28"/>
          <w:szCs w:val="24"/>
        </w:rPr>
        <w:t xml:space="preserve">In this month’s </w:t>
      </w:r>
      <w:r w:rsidRPr="00B46303">
        <w:rPr>
          <w:rFonts w:asciiTheme="majorHAnsi" w:hAnsiTheme="majorHAnsi" w:cs="Times New Roman"/>
          <w:i/>
          <w:sz w:val="28"/>
          <w:szCs w:val="24"/>
        </w:rPr>
        <w:t xml:space="preserve">recap: </w:t>
      </w:r>
      <w:r>
        <w:rPr>
          <w:rFonts w:asciiTheme="majorHAnsi" w:hAnsiTheme="majorHAnsi" w:cs="Times New Roman"/>
          <w:i/>
          <w:sz w:val="28"/>
          <w:szCs w:val="24"/>
        </w:rPr>
        <w:t xml:space="preserve">the S&amp;P 500 returns to record territory, </w:t>
      </w:r>
      <w:r>
        <w:rPr>
          <w:rFonts w:asciiTheme="majorHAnsi" w:hAnsiTheme="majorHAnsi" w:cs="Times New Roman"/>
          <w:i/>
          <w:sz w:val="28"/>
          <w:szCs w:val="24"/>
        </w:rPr>
        <w:t xml:space="preserve">key </w:t>
      </w:r>
      <w:r>
        <w:rPr>
          <w:rFonts w:asciiTheme="majorHAnsi" w:hAnsiTheme="majorHAnsi" w:cs="Times New Roman"/>
          <w:i/>
          <w:sz w:val="28"/>
          <w:szCs w:val="24"/>
        </w:rPr>
        <w:t>economic indicators</w:t>
      </w:r>
      <w:r>
        <w:rPr>
          <w:rFonts w:asciiTheme="majorHAnsi" w:hAnsiTheme="majorHAnsi" w:cs="Times New Roman"/>
          <w:i/>
          <w:sz w:val="28"/>
          <w:szCs w:val="24"/>
        </w:rPr>
        <w:t xml:space="preserve"> </w:t>
      </w:r>
      <w:r>
        <w:rPr>
          <w:rFonts w:asciiTheme="majorHAnsi" w:hAnsiTheme="majorHAnsi" w:cs="Times New Roman"/>
          <w:i/>
          <w:sz w:val="28"/>
          <w:szCs w:val="24"/>
        </w:rPr>
        <w:t>show strength, oil continues its ascent, and existing home sales decline</w:t>
      </w:r>
      <w:r w:rsidRPr="00B46303">
        <w:rPr>
          <w:rFonts w:asciiTheme="majorHAnsi" w:hAnsiTheme="majorHAnsi" w:cs="Times New Roman"/>
          <w:i/>
          <w:sz w:val="28"/>
          <w:szCs w:val="24"/>
        </w:rPr>
        <w:t>.</w:t>
      </w:r>
    </w:p>
    <w:p w:rsidR="00F82321" w:rsidRPr="00A56786" w:rsidRDefault="00861533" w:rsidP="00B76A8A">
      <w:pPr>
        <w:spacing w:before="160" w:line="276" w:lineRule="auto"/>
        <w:jc w:val="center"/>
        <w:rPr>
          <w:rFonts w:asciiTheme="majorHAnsi" w:hAnsiTheme="majorHAnsi" w:cs="Times New Roman"/>
          <w:b/>
          <w:color w:val="000000" w:themeColor="text1"/>
          <w:sz w:val="72"/>
          <w:szCs w:val="24"/>
        </w:rPr>
      </w:pPr>
      <w:r>
        <w:rPr>
          <w:rFonts w:asciiTheme="majorHAnsi" w:hAnsiTheme="majorHAnsi"/>
          <w:b/>
          <w:noProof/>
          <w:sz w:val="72"/>
        </w:rPr>
        <w:t>Monthly</w:t>
      </w:r>
      <w:r w:rsidRPr="00A56786">
        <w:rPr>
          <w:rFonts w:asciiTheme="majorHAnsi" w:hAnsiTheme="majorHAnsi"/>
          <w:b/>
          <w:noProof/>
          <w:sz w:val="72"/>
        </w:rPr>
        <w:t xml:space="preserve"> Economic Update</w:t>
      </w:r>
    </w:p>
    <w:p w:rsidR="00B2579B" w:rsidRDefault="00861533" w:rsidP="00EE6BF2">
      <w:pPr>
        <w:spacing w:before="160" w:line="276" w:lineRule="auto"/>
        <w:jc w:val="center"/>
        <w:rPr>
          <w:rFonts w:asciiTheme="majorHAnsi" w:hAnsiTheme="majorHAnsi" w:cs="Times New Roman"/>
          <w:i/>
          <w:color w:val="376B8D"/>
          <w:sz w:val="28"/>
          <w:szCs w:val="24"/>
        </w:rPr>
      </w:pPr>
      <w:r w:rsidRPr="001D1391">
        <w:rPr>
          <w:rFonts w:asciiTheme="majorHAnsi" w:hAnsiTheme="majorHAnsi"/>
          <w:noProof/>
          <w:sz w:val="10"/>
          <w:vertAlign w:val="subscript"/>
        </w:rPr>
        <w:drawing>
          <wp:inline distT="0" distB="0" distL="0" distR="0">
            <wp:extent cx="5825083"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A56786" w:rsidRPr="00DD38C0" w:rsidRDefault="00861533" w:rsidP="00EE6BF2">
      <w:pPr>
        <w:spacing w:before="160" w:line="276" w:lineRule="auto"/>
        <w:jc w:val="center"/>
        <w:rPr>
          <w:rFonts w:asciiTheme="majorHAnsi" w:hAnsiTheme="majorHAnsi" w:cs="Times New Roman"/>
          <w:color w:val="808080" w:themeColor="background1" w:themeShade="80"/>
          <w:sz w:val="2"/>
          <w:szCs w:val="24"/>
        </w:rPr>
      </w:pPr>
    </w:p>
    <w:p w:rsidR="00F82321" w:rsidRPr="001D1391" w:rsidRDefault="00861533" w:rsidP="00EE6BF2">
      <w:pPr>
        <w:spacing w:before="160" w:line="276" w:lineRule="auto"/>
        <w:jc w:val="center"/>
        <w:rPr>
          <w:rFonts w:asciiTheme="majorHAnsi" w:hAnsiTheme="majorHAnsi" w:cs="Times New Roman"/>
          <w:i/>
          <w:color w:val="646464"/>
          <w:sz w:val="24"/>
          <w:szCs w:val="24"/>
          <w:vertAlign w:val="subscript"/>
        </w:rPr>
      </w:pPr>
      <w:r>
        <w:rPr>
          <w:rFonts w:asciiTheme="majorHAnsi" w:hAnsiTheme="majorHAnsi" w:cs="Times New Roman"/>
          <w:i/>
          <w:color w:val="646464"/>
          <w:sz w:val="24"/>
          <w:szCs w:val="24"/>
        </w:rPr>
        <w:t>May 2019</w:t>
      </w:r>
    </w:p>
    <w:p w:rsidR="002544C5" w:rsidRPr="00DD38C0" w:rsidRDefault="00861533" w:rsidP="00EE6BF2">
      <w:pPr>
        <w:spacing w:before="160" w:line="276" w:lineRule="auto"/>
        <w:jc w:val="center"/>
        <w:rPr>
          <w:rFonts w:asciiTheme="majorHAnsi" w:hAnsiTheme="majorHAnsi" w:cs="Times New Roman"/>
          <w:color w:val="000000" w:themeColor="text1"/>
          <w:sz w:val="4"/>
          <w:szCs w:val="24"/>
        </w:rPr>
      </w:pPr>
    </w:p>
    <w:p w:rsidR="00775662" w:rsidRDefault="00861533" w:rsidP="00EE6BF2">
      <w:pPr>
        <w:spacing w:line="276" w:lineRule="auto"/>
        <w:rPr>
          <w:rFonts w:asciiTheme="majorHAnsi" w:hAnsiTheme="majorHAnsi"/>
          <w:b/>
          <w:color w:val="3E7BB6"/>
          <w:sz w:val="28"/>
          <w:szCs w:val="24"/>
        </w:rPr>
      </w:pPr>
      <w:r w:rsidRPr="00775662">
        <w:rPr>
          <w:rFonts w:asciiTheme="majorHAnsi" w:hAnsiTheme="majorHAnsi"/>
          <w:b/>
          <w:color w:val="3E7BB6"/>
          <w:sz w:val="28"/>
          <w:szCs w:val="24"/>
        </w:rPr>
        <w:t>THE MONTH IN BRIEF</w:t>
      </w:r>
    </w:p>
    <w:p w:rsidR="00775662" w:rsidRPr="0047025A" w:rsidRDefault="00861533" w:rsidP="00EE6BF2">
      <w:pPr>
        <w:spacing w:line="276" w:lineRule="auto"/>
        <w:jc w:val="both"/>
        <w:rPr>
          <w:rFonts w:asciiTheme="majorHAnsi" w:hAnsiTheme="majorHAnsi"/>
          <w:color w:val="002060"/>
          <w:sz w:val="24"/>
          <w:szCs w:val="24"/>
        </w:rPr>
      </w:pPr>
      <w:r>
        <w:rPr>
          <w:rFonts w:asciiTheme="majorHAnsi" w:hAnsiTheme="majorHAnsi" w:cstheme="majorHAnsi"/>
          <w:sz w:val="24"/>
          <w:szCs w:val="24"/>
        </w:rPr>
        <w:t>Wall Street shifted it</w:t>
      </w:r>
      <w:r w:rsidRPr="00BD12D6">
        <w:rPr>
          <w:rFonts w:asciiTheme="majorHAnsi" w:hAnsiTheme="majorHAnsi" w:cstheme="majorHAnsi"/>
          <w:sz w:val="24"/>
          <w:szCs w:val="24"/>
        </w:rPr>
        <w:t>s focus from trade to earnings in April</w:t>
      </w:r>
      <w:r w:rsidRPr="00BD12D6">
        <w:rPr>
          <w:rFonts w:asciiTheme="majorHAnsi" w:hAnsiTheme="majorHAnsi"/>
          <w:sz w:val="24"/>
          <w:szCs w:val="24"/>
        </w:rPr>
        <w:t>.</w:t>
      </w:r>
      <w:r w:rsidRPr="00BD12D6">
        <w:rPr>
          <w:rFonts w:asciiTheme="majorHAnsi" w:hAnsiTheme="majorHAnsi"/>
          <w:sz w:val="24"/>
          <w:szCs w:val="24"/>
        </w:rPr>
        <w:t xml:space="preserve"> On that front, the news was good: through April </w:t>
      </w:r>
      <w:r w:rsidRPr="00BD12D6">
        <w:rPr>
          <w:rFonts w:asciiTheme="majorHAnsi" w:hAnsiTheme="majorHAnsi"/>
          <w:sz w:val="24"/>
          <w:szCs w:val="24"/>
        </w:rPr>
        <w:t>26</w:t>
      </w:r>
      <w:r w:rsidRPr="00BD12D6">
        <w:rPr>
          <w:rFonts w:asciiTheme="majorHAnsi" w:hAnsiTheme="majorHAnsi"/>
          <w:sz w:val="24"/>
          <w:szCs w:val="24"/>
        </w:rPr>
        <w:t>, first-quarter results for S&amp;P 500 firms had beaten expectations by 5.</w:t>
      </w:r>
      <w:r w:rsidRPr="00BD12D6">
        <w:rPr>
          <w:rFonts w:asciiTheme="majorHAnsi" w:hAnsiTheme="majorHAnsi"/>
          <w:sz w:val="24"/>
          <w:szCs w:val="24"/>
        </w:rPr>
        <w:t>3</w:t>
      </w:r>
      <w:r w:rsidRPr="00BD12D6">
        <w:rPr>
          <w:rFonts w:asciiTheme="majorHAnsi" w:hAnsiTheme="majorHAnsi"/>
          <w:sz w:val="24"/>
          <w:szCs w:val="24"/>
        </w:rPr>
        <w:t>%, a bit better than the historical average</w:t>
      </w:r>
      <w:r w:rsidRPr="00BD12D6">
        <w:rPr>
          <w:rFonts w:asciiTheme="majorHAnsi" w:hAnsiTheme="majorHAnsi"/>
          <w:sz w:val="24"/>
          <w:szCs w:val="24"/>
        </w:rPr>
        <w:t xml:space="preserve"> of 4.8%</w:t>
      </w:r>
      <w:r w:rsidRPr="00BD12D6">
        <w:rPr>
          <w:rFonts w:asciiTheme="majorHAnsi" w:hAnsiTheme="majorHAnsi"/>
          <w:sz w:val="24"/>
          <w:szCs w:val="24"/>
        </w:rPr>
        <w:t xml:space="preserve">. A strong first-quarter gross domestic product reading and </w:t>
      </w:r>
      <w:r>
        <w:rPr>
          <w:rFonts w:asciiTheme="majorHAnsi" w:hAnsiTheme="majorHAnsi"/>
          <w:sz w:val="24"/>
          <w:szCs w:val="24"/>
        </w:rPr>
        <w:t>solid</w:t>
      </w:r>
      <w:r w:rsidRPr="00BD12D6">
        <w:rPr>
          <w:rFonts w:asciiTheme="majorHAnsi" w:hAnsiTheme="majorHAnsi"/>
          <w:sz w:val="24"/>
          <w:szCs w:val="24"/>
        </w:rPr>
        <w:t xml:space="preserve"> consumer spendin</w:t>
      </w:r>
      <w:r w:rsidRPr="00BD12D6">
        <w:rPr>
          <w:rFonts w:asciiTheme="majorHAnsi" w:hAnsiTheme="majorHAnsi"/>
          <w:sz w:val="24"/>
          <w:szCs w:val="24"/>
        </w:rPr>
        <w:t xml:space="preserve">g and hiring numbers did much to quell worries about the economy slowing. </w:t>
      </w:r>
      <w:r w:rsidRPr="00BD12D6">
        <w:rPr>
          <w:rFonts w:asciiTheme="majorHAnsi" w:hAnsiTheme="majorHAnsi"/>
          <w:sz w:val="24"/>
          <w:szCs w:val="24"/>
        </w:rPr>
        <w:t>Existing h</w:t>
      </w:r>
      <w:r w:rsidRPr="00BD12D6">
        <w:rPr>
          <w:rFonts w:asciiTheme="majorHAnsi" w:hAnsiTheme="majorHAnsi"/>
          <w:sz w:val="24"/>
          <w:szCs w:val="24"/>
        </w:rPr>
        <w:t xml:space="preserve">ome sales retreated again; mortgage rates went north again. </w:t>
      </w:r>
      <w:r w:rsidRPr="00BD12D6">
        <w:rPr>
          <w:rFonts w:asciiTheme="majorHAnsi" w:hAnsiTheme="majorHAnsi"/>
          <w:sz w:val="24"/>
          <w:szCs w:val="24"/>
        </w:rPr>
        <w:t>Oil prices rose.</w:t>
      </w:r>
      <w:r w:rsidRPr="00BD12D6">
        <w:rPr>
          <w:rFonts w:asciiTheme="majorHAnsi" w:hAnsiTheme="majorHAnsi"/>
          <w:sz w:val="24"/>
          <w:szCs w:val="24"/>
        </w:rPr>
        <w:t xml:space="preserve"> Bullish sentiment was palpable.</w:t>
      </w:r>
      <w:r w:rsidRPr="00BD12D6">
        <w:rPr>
          <w:rFonts w:asciiTheme="majorHAnsi" w:hAnsiTheme="majorHAnsi"/>
          <w:sz w:val="24"/>
          <w:szCs w:val="24"/>
          <w:vertAlign w:val="superscript"/>
        </w:rPr>
        <w:t>1</w:t>
      </w:r>
    </w:p>
    <w:p w:rsidR="00775662" w:rsidRPr="00DD38C0" w:rsidRDefault="00861533" w:rsidP="00EE6BF2">
      <w:pPr>
        <w:spacing w:line="276" w:lineRule="auto"/>
        <w:rPr>
          <w:rFonts w:asciiTheme="majorHAnsi" w:hAnsiTheme="majorHAnsi"/>
          <w:sz w:val="6"/>
          <w:szCs w:val="24"/>
        </w:rPr>
      </w:pPr>
    </w:p>
    <w:p w:rsidR="00775662" w:rsidRDefault="00861533" w:rsidP="00DD05FD">
      <w:pPr>
        <w:spacing w:line="276" w:lineRule="auto"/>
        <w:jc w:val="center"/>
        <w:rPr>
          <w:rFonts w:asciiTheme="majorHAnsi" w:hAnsiTheme="majorHAnsi"/>
          <w:sz w:val="24"/>
          <w:szCs w:val="24"/>
        </w:rPr>
      </w:pPr>
      <w:r w:rsidRPr="004A2938">
        <w:rPr>
          <w:rFonts w:asciiTheme="majorHAnsi" w:hAnsiTheme="majorHAnsi"/>
          <w:noProof/>
          <w:sz w:val="10"/>
        </w:rPr>
        <w:drawing>
          <wp:inline distT="0" distB="0" distL="0" distR="0">
            <wp:extent cx="5825083" cy="268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775662" w:rsidRPr="00DD38C0" w:rsidRDefault="00861533" w:rsidP="00EE6BF2">
      <w:pPr>
        <w:spacing w:line="276" w:lineRule="auto"/>
        <w:rPr>
          <w:rFonts w:asciiTheme="majorHAnsi" w:hAnsiTheme="majorHAnsi"/>
          <w:sz w:val="6"/>
          <w:szCs w:val="24"/>
        </w:rPr>
      </w:pPr>
    </w:p>
    <w:p w:rsidR="00775662" w:rsidRDefault="00861533" w:rsidP="00EE6BF2">
      <w:pPr>
        <w:spacing w:line="276" w:lineRule="auto"/>
        <w:rPr>
          <w:rFonts w:asciiTheme="majorHAnsi" w:hAnsiTheme="majorHAnsi"/>
          <w:b/>
          <w:color w:val="3E7BB6"/>
          <w:sz w:val="28"/>
          <w:szCs w:val="24"/>
        </w:rPr>
      </w:pPr>
      <w:r w:rsidRPr="00775662">
        <w:rPr>
          <w:rFonts w:asciiTheme="majorHAnsi" w:hAnsiTheme="majorHAnsi"/>
          <w:b/>
          <w:color w:val="3E7BB6"/>
          <w:sz w:val="28"/>
          <w:szCs w:val="24"/>
        </w:rPr>
        <w:t xml:space="preserve">DOMESTIC ECONOMIC HEALTH </w:t>
      </w:r>
    </w:p>
    <w:p w:rsidR="00BD12D6" w:rsidRDefault="00861533" w:rsidP="00946B0D">
      <w:pPr>
        <w:spacing w:line="276" w:lineRule="auto"/>
        <w:jc w:val="both"/>
        <w:rPr>
          <w:rStyle w:val="st"/>
          <w:rFonts w:asciiTheme="majorHAnsi" w:hAnsiTheme="majorHAnsi"/>
          <w:sz w:val="24"/>
          <w:szCs w:val="24"/>
        </w:rPr>
      </w:pPr>
      <w:r>
        <w:rPr>
          <w:rStyle w:val="st"/>
          <w:rFonts w:asciiTheme="majorHAnsi" w:hAnsiTheme="majorHAnsi" w:cstheme="majorHAnsi"/>
          <w:sz w:val="24"/>
          <w:szCs w:val="24"/>
        </w:rPr>
        <w:t xml:space="preserve">Statistically speaking, </w:t>
      </w:r>
      <w:r>
        <w:rPr>
          <w:rStyle w:val="st"/>
          <w:rFonts w:asciiTheme="majorHAnsi" w:hAnsiTheme="majorHAnsi" w:cstheme="majorHAnsi"/>
          <w:sz w:val="24"/>
          <w:szCs w:val="24"/>
        </w:rPr>
        <w:t>economists and investors found much to like while looking at the latest round of fundamental indicators</w:t>
      </w:r>
      <w:r>
        <w:rPr>
          <w:rStyle w:val="st"/>
          <w:rFonts w:asciiTheme="majorHAnsi" w:hAnsiTheme="majorHAnsi"/>
          <w:sz w:val="24"/>
          <w:szCs w:val="24"/>
        </w:rPr>
        <w:t>.</w:t>
      </w:r>
      <w:r>
        <w:rPr>
          <w:rStyle w:val="st"/>
          <w:rFonts w:asciiTheme="majorHAnsi" w:hAnsiTheme="majorHAnsi"/>
          <w:sz w:val="24"/>
          <w:szCs w:val="24"/>
        </w:rPr>
        <w:t xml:space="preserve"> </w:t>
      </w:r>
    </w:p>
    <w:p w:rsidR="00F26D5E" w:rsidRPr="00896375" w:rsidRDefault="00861533" w:rsidP="00946B0D">
      <w:pPr>
        <w:spacing w:line="276" w:lineRule="auto"/>
        <w:jc w:val="both"/>
        <w:rPr>
          <w:rStyle w:val="st"/>
          <w:rFonts w:asciiTheme="majorHAnsi" w:hAnsiTheme="majorHAnsi"/>
          <w:sz w:val="24"/>
          <w:szCs w:val="24"/>
        </w:rPr>
      </w:pPr>
      <w:r>
        <w:rPr>
          <w:rStyle w:val="st"/>
          <w:rFonts w:asciiTheme="majorHAnsi" w:hAnsiTheme="majorHAnsi"/>
          <w:sz w:val="24"/>
          <w:szCs w:val="24"/>
        </w:rPr>
        <w:t xml:space="preserve">The first quarter had been a good one: the federal government’s initial estimate of economic growth in that period was 3.2%, far above the 2.2% of Q4 </w:t>
      </w:r>
      <w:r>
        <w:rPr>
          <w:rStyle w:val="st"/>
          <w:rFonts w:asciiTheme="majorHAnsi" w:hAnsiTheme="majorHAnsi"/>
          <w:sz w:val="24"/>
          <w:szCs w:val="24"/>
        </w:rPr>
        <w:t>and the 2.3% consensus forecast of analysts surveyed by MarketWatch.</w:t>
      </w:r>
      <w:r>
        <w:rPr>
          <w:rStyle w:val="st"/>
          <w:rFonts w:asciiTheme="majorHAnsi" w:hAnsiTheme="majorHAnsi"/>
          <w:sz w:val="24"/>
          <w:szCs w:val="24"/>
        </w:rPr>
        <w:t xml:space="preserve"> </w:t>
      </w:r>
      <w:r>
        <w:rPr>
          <w:rStyle w:val="st"/>
          <w:rFonts w:asciiTheme="majorHAnsi" w:hAnsiTheme="majorHAnsi"/>
          <w:sz w:val="24"/>
          <w:szCs w:val="24"/>
        </w:rPr>
        <w:t xml:space="preserve">In </w:t>
      </w:r>
      <w:r>
        <w:rPr>
          <w:rStyle w:val="st"/>
          <w:rFonts w:asciiTheme="majorHAnsi" w:hAnsiTheme="majorHAnsi"/>
          <w:sz w:val="24"/>
          <w:szCs w:val="24"/>
        </w:rPr>
        <w:t>March alone</w:t>
      </w:r>
      <w:r>
        <w:rPr>
          <w:rStyle w:val="st"/>
          <w:rFonts w:asciiTheme="majorHAnsi" w:hAnsiTheme="majorHAnsi"/>
          <w:sz w:val="24"/>
          <w:szCs w:val="24"/>
        </w:rPr>
        <w:t>,</w:t>
      </w:r>
      <w:r>
        <w:rPr>
          <w:rStyle w:val="st"/>
          <w:rFonts w:asciiTheme="majorHAnsi" w:hAnsiTheme="majorHAnsi"/>
          <w:sz w:val="24"/>
          <w:szCs w:val="24"/>
        </w:rPr>
        <w:t xml:space="preserve"> consumer spending</w:t>
      </w:r>
      <w:r>
        <w:rPr>
          <w:rStyle w:val="st"/>
          <w:rFonts w:asciiTheme="majorHAnsi" w:hAnsiTheme="majorHAnsi"/>
          <w:sz w:val="24"/>
          <w:szCs w:val="24"/>
        </w:rPr>
        <w:t xml:space="preserve"> increased 0.9%</w:t>
      </w:r>
      <w:r>
        <w:rPr>
          <w:rStyle w:val="st"/>
          <w:rFonts w:asciiTheme="majorHAnsi" w:hAnsiTheme="majorHAnsi"/>
          <w:sz w:val="24"/>
          <w:szCs w:val="24"/>
        </w:rPr>
        <w:t>,</w:t>
      </w:r>
      <w:r>
        <w:rPr>
          <w:rStyle w:val="st"/>
          <w:rFonts w:asciiTheme="majorHAnsi" w:hAnsiTheme="majorHAnsi"/>
          <w:sz w:val="24"/>
          <w:szCs w:val="24"/>
        </w:rPr>
        <w:t xml:space="preserve"> and retail sales</w:t>
      </w:r>
      <w:r>
        <w:rPr>
          <w:rStyle w:val="st"/>
          <w:rFonts w:asciiTheme="majorHAnsi" w:hAnsiTheme="majorHAnsi"/>
          <w:sz w:val="24"/>
          <w:szCs w:val="24"/>
        </w:rPr>
        <w:t xml:space="preserve"> improved 1.6%</w:t>
      </w:r>
      <w:r>
        <w:rPr>
          <w:rStyle w:val="st"/>
          <w:rFonts w:asciiTheme="majorHAnsi" w:hAnsiTheme="majorHAnsi"/>
          <w:sz w:val="24"/>
          <w:szCs w:val="24"/>
        </w:rPr>
        <w:t>.</w:t>
      </w:r>
      <w:r w:rsidRPr="00BD12D6">
        <w:rPr>
          <w:rStyle w:val="st"/>
          <w:rFonts w:asciiTheme="majorHAnsi" w:hAnsiTheme="majorHAnsi"/>
          <w:sz w:val="24"/>
          <w:szCs w:val="24"/>
          <w:vertAlign w:val="superscript"/>
        </w:rPr>
        <w:t>2</w:t>
      </w:r>
      <w:r>
        <w:rPr>
          <w:rStyle w:val="st"/>
          <w:rFonts w:asciiTheme="majorHAnsi" w:hAnsiTheme="majorHAnsi"/>
          <w:sz w:val="24"/>
          <w:szCs w:val="24"/>
          <w:vertAlign w:val="superscript"/>
        </w:rPr>
        <w:t>,3</w:t>
      </w:r>
    </w:p>
    <w:p w:rsidR="000A6FC4" w:rsidRPr="00896375" w:rsidRDefault="00861533" w:rsidP="000A6FC4">
      <w:pPr>
        <w:spacing w:line="276" w:lineRule="auto"/>
        <w:jc w:val="both"/>
        <w:rPr>
          <w:rStyle w:val="st"/>
          <w:rFonts w:asciiTheme="majorHAnsi" w:hAnsiTheme="majorHAnsi"/>
          <w:sz w:val="24"/>
          <w:szCs w:val="24"/>
        </w:rPr>
      </w:pPr>
      <w:r>
        <w:rPr>
          <w:rStyle w:val="st"/>
          <w:rFonts w:asciiTheme="majorHAnsi" w:hAnsiTheme="majorHAnsi"/>
          <w:sz w:val="24"/>
          <w:szCs w:val="24"/>
        </w:rPr>
        <w:t>Unemployment remained at 3.8% in March</w:t>
      </w:r>
      <w:r>
        <w:rPr>
          <w:rStyle w:val="st"/>
          <w:rFonts w:asciiTheme="majorHAnsi" w:hAnsiTheme="majorHAnsi"/>
          <w:sz w:val="24"/>
          <w:szCs w:val="24"/>
        </w:rPr>
        <w:t xml:space="preserve"> (and the U-6 jobless rate, which factors in the underemployed, </w:t>
      </w:r>
      <w:r>
        <w:rPr>
          <w:rStyle w:val="st"/>
          <w:rFonts w:asciiTheme="majorHAnsi" w:hAnsiTheme="majorHAnsi"/>
          <w:sz w:val="24"/>
          <w:szCs w:val="24"/>
        </w:rPr>
        <w:t>was 7.3% for another month). Nonfarm payrolls grew by a net 196,000 jobs in the third month of the year, which was a nice rebound from the anemic 33,000 gain for February.</w:t>
      </w:r>
      <w:r>
        <w:rPr>
          <w:rStyle w:val="st"/>
          <w:rFonts w:asciiTheme="majorHAnsi" w:hAnsiTheme="majorHAnsi"/>
          <w:sz w:val="24"/>
          <w:szCs w:val="24"/>
          <w:vertAlign w:val="superscript"/>
        </w:rPr>
        <w:t>3</w:t>
      </w:r>
    </w:p>
    <w:p w:rsidR="0024546B" w:rsidRPr="00896375" w:rsidRDefault="00861533" w:rsidP="0024546B">
      <w:pPr>
        <w:spacing w:line="276" w:lineRule="auto"/>
        <w:jc w:val="both"/>
        <w:rPr>
          <w:rStyle w:val="st"/>
          <w:rFonts w:asciiTheme="majorHAnsi" w:hAnsiTheme="majorHAnsi"/>
          <w:sz w:val="24"/>
          <w:szCs w:val="24"/>
        </w:rPr>
      </w:pPr>
      <w:r>
        <w:rPr>
          <w:rStyle w:val="st"/>
          <w:rFonts w:asciiTheme="majorHAnsi" w:hAnsiTheme="majorHAnsi"/>
          <w:sz w:val="24"/>
          <w:szCs w:val="24"/>
        </w:rPr>
        <w:t>The Institute for Supply Management’s twin purchasing manager ind</w:t>
      </w:r>
      <w:r>
        <w:rPr>
          <w:rStyle w:val="st"/>
          <w:rFonts w:asciiTheme="majorHAnsi" w:hAnsiTheme="majorHAnsi"/>
          <w:sz w:val="24"/>
          <w:szCs w:val="24"/>
        </w:rPr>
        <w:t>ex</w:t>
      </w:r>
      <w:r>
        <w:rPr>
          <w:rStyle w:val="st"/>
          <w:rFonts w:asciiTheme="majorHAnsi" w:hAnsiTheme="majorHAnsi"/>
          <w:sz w:val="24"/>
          <w:szCs w:val="24"/>
        </w:rPr>
        <w:t xml:space="preserve">es, </w:t>
      </w:r>
      <w:r>
        <w:rPr>
          <w:rStyle w:val="st"/>
          <w:rFonts w:asciiTheme="majorHAnsi" w:hAnsiTheme="majorHAnsi"/>
          <w:sz w:val="24"/>
          <w:szCs w:val="24"/>
        </w:rPr>
        <w:t>monthly gauges of U.S. service sector and manufacturing sector activity, were well above 50. (When these indices fall below 50, the sectors are judged to be contracting rather than growing.) ISM’s service sector PMI was 56.1 in March</w:t>
      </w:r>
      <w:r>
        <w:rPr>
          <w:rStyle w:val="st"/>
          <w:rFonts w:asciiTheme="majorHAnsi" w:hAnsiTheme="majorHAnsi"/>
          <w:sz w:val="24"/>
          <w:szCs w:val="24"/>
        </w:rPr>
        <w:t>;</w:t>
      </w:r>
      <w:r>
        <w:rPr>
          <w:rStyle w:val="st"/>
          <w:rFonts w:asciiTheme="majorHAnsi" w:hAnsiTheme="majorHAnsi"/>
          <w:sz w:val="24"/>
          <w:szCs w:val="24"/>
        </w:rPr>
        <w:t xml:space="preserve"> its factory sector PM</w:t>
      </w:r>
      <w:r>
        <w:rPr>
          <w:rStyle w:val="st"/>
          <w:rFonts w:asciiTheme="majorHAnsi" w:hAnsiTheme="majorHAnsi"/>
          <w:sz w:val="24"/>
          <w:szCs w:val="24"/>
        </w:rPr>
        <w:t>I</w:t>
      </w:r>
      <w:r>
        <w:rPr>
          <w:rStyle w:val="st"/>
          <w:rFonts w:asciiTheme="majorHAnsi" w:hAnsiTheme="majorHAnsi"/>
          <w:sz w:val="24"/>
          <w:szCs w:val="24"/>
        </w:rPr>
        <w:t>,</w:t>
      </w:r>
      <w:r>
        <w:rPr>
          <w:rStyle w:val="st"/>
          <w:rFonts w:asciiTheme="majorHAnsi" w:hAnsiTheme="majorHAnsi"/>
          <w:sz w:val="24"/>
          <w:szCs w:val="24"/>
        </w:rPr>
        <w:t xml:space="preserve"> at 55.3.</w:t>
      </w:r>
      <w:r>
        <w:rPr>
          <w:rStyle w:val="st"/>
          <w:rFonts w:asciiTheme="majorHAnsi" w:hAnsiTheme="majorHAnsi"/>
          <w:sz w:val="24"/>
          <w:szCs w:val="24"/>
          <w:vertAlign w:val="superscript"/>
        </w:rPr>
        <w:t>3</w:t>
      </w:r>
    </w:p>
    <w:p w:rsidR="0024546B" w:rsidRPr="00896375" w:rsidRDefault="00861533" w:rsidP="0024546B">
      <w:pPr>
        <w:spacing w:line="276" w:lineRule="auto"/>
        <w:jc w:val="both"/>
        <w:rPr>
          <w:rStyle w:val="st"/>
          <w:rFonts w:asciiTheme="majorHAnsi" w:hAnsiTheme="majorHAnsi"/>
          <w:sz w:val="24"/>
          <w:szCs w:val="24"/>
        </w:rPr>
      </w:pPr>
      <w:r>
        <w:rPr>
          <w:rStyle w:val="st"/>
          <w:rFonts w:asciiTheme="majorHAnsi" w:hAnsiTheme="majorHAnsi"/>
          <w:sz w:val="24"/>
          <w:szCs w:val="24"/>
        </w:rPr>
        <w:lastRenderedPageBreak/>
        <w:t>The most-watched U.S. consumer confidence index, maintained by the Conference Board, rose 5.0 points in April to a notably high mark of 129.2. The University of Michigan’s monthly index measuring household sentiment also rose, gaining 0.3 poin</w:t>
      </w:r>
      <w:r>
        <w:rPr>
          <w:rStyle w:val="st"/>
          <w:rFonts w:asciiTheme="majorHAnsi" w:hAnsiTheme="majorHAnsi"/>
          <w:sz w:val="24"/>
          <w:szCs w:val="24"/>
        </w:rPr>
        <w:t>ts to reach 97.2</w:t>
      </w:r>
      <w:r w:rsidRPr="00C20E42">
        <w:rPr>
          <w:rStyle w:val="st"/>
          <w:rFonts w:asciiTheme="majorHAnsi" w:hAnsiTheme="majorHAnsi"/>
          <w:sz w:val="24"/>
          <w:szCs w:val="24"/>
        </w:rPr>
        <w:t xml:space="preserve"> </w:t>
      </w:r>
      <w:r>
        <w:rPr>
          <w:rStyle w:val="st"/>
          <w:rFonts w:asciiTheme="majorHAnsi" w:hAnsiTheme="majorHAnsi"/>
          <w:sz w:val="24"/>
          <w:szCs w:val="24"/>
        </w:rPr>
        <w:t>for April</w:t>
      </w:r>
      <w:r>
        <w:rPr>
          <w:rStyle w:val="st"/>
          <w:rFonts w:asciiTheme="majorHAnsi" w:hAnsiTheme="majorHAnsi"/>
          <w:sz w:val="24"/>
          <w:szCs w:val="24"/>
        </w:rPr>
        <w:t>.</w:t>
      </w:r>
      <w:r>
        <w:rPr>
          <w:rStyle w:val="st"/>
          <w:rFonts w:asciiTheme="majorHAnsi" w:hAnsiTheme="majorHAnsi"/>
          <w:sz w:val="24"/>
          <w:szCs w:val="24"/>
          <w:vertAlign w:val="superscript"/>
        </w:rPr>
        <w:t>2</w:t>
      </w:r>
    </w:p>
    <w:p w:rsidR="009823A4" w:rsidRPr="00896375" w:rsidRDefault="00861533" w:rsidP="009823A4">
      <w:pPr>
        <w:spacing w:line="276" w:lineRule="auto"/>
        <w:jc w:val="both"/>
        <w:rPr>
          <w:rStyle w:val="st"/>
          <w:rFonts w:asciiTheme="majorHAnsi" w:hAnsiTheme="majorHAnsi"/>
          <w:sz w:val="24"/>
          <w:szCs w:val="24"/>
        </w:rPr>
      </w:pPr>
      <w:r>
        <w:rPr>
          <w:rStyle w:val="st"/>
          <w:rFonts w:asciiTheme="majorHAnsi" w:hAnsiTheme="majorHAnsi"/>
          <w:sz w:val="24"/>
          <w:szCs w:val="24"/>
        </w:rPr>
        <w:t>Yearly inflation picked up from 1.5% to 1.9% in March, but this mostly reflected a jump in gasoline and electricity costs</w:t>
      </w:r>
      <w:r>
        <w:rPr>
          <w:rStyle w:val="st"/>
          <w:rFonts w:asciiTheme="majorHAnsi" w:hAnsiTheme="majorHAnsi"/>
          <w:sz w:val="24"/>
          <w:szCs w:val="24"/>
        </w:rPr>
        <w:t xml:space="preserve"> as well as</w:t>
      </w:r>
      <w:r>
        <w:rPr>
          <w:rStyle w:val="st"/>
          <w:rFonts w:asciiTheme="majorHAnsi" w:hAnsiTheme="majorHAnsi"/>
          <w:sz w:val="24"/>
          <w:szCs w:val="24"/>
        </w:rPr>
        <w:t xml:space="preserve"> rents.</w:t>
      </w:r>
      <w:r>
        <w:rPr>
          <w:rStyle w:val="st"/>
          <w:rFonts w:asciiTheme="majorHAnsi" w:hAnsiTheme="majorHAnsi"/>
          <w:sz w:val="24"/>
          <w:szCs w:val="24"/>
        </w:rPr>
        <w:t xml:space="preserve"> This left annualized inflation near the Federal Reserve’s target rate of 2.0%.</w:t>
      </w:r>
      <w:r>
        <w:rPr>
          <w:rStyle w:val="st"/>
          <w:rFonts w:asciiTheme="majorHAnsi" w:hAnsiTheme="majorHAnsi"/>
          <w:sz w:val="24"/>
          <w:szCs w:val="24"/>
          <w:vertAlign w:val="superscript"/>
        </w:rPr>
        <w:t>3,4</w:t>
      </w:r>
    </w:p>
    <w:p w:rsidR="003F06AB" w:rsidRPr="00DD38C0" w:rsidRDefault="00861533" w:rsidP="003F06AB">
      <w:pPr>
        <w:spacing w:line="276" w:lineRule="auto"/>
        <w:jc w:val="both"/>
        <w:rPr>
          <w:rFonts w:asciiTheme="majorHAnsi" w:hAnsiTheme="majorHAnsi"/>
          <w:sz w:val="6"/>
          <w:szCs w:val="24"/>
        </w:rPr>
      </w:pPr>
    </w:p>
    <w:p w:rsidR="00775662" w:rsidRPr="00775662" w:rsidRDefault="00861533" w:rsidP="00EE6BF2">
      <w:pPr>
        <w:spacing w:line="276" w:lineRule="auto"/>
        <w:jc w:val="both"/>
        <w:rPr>
          <w:rFonts w:asciiTheme="majorHAnsi" w:hAnsiTheme="majorHAnsi"/>
          <w:b/>
          <w:color w:val="3E7BB6"/>
          <w:sz w:val="28"/>
          <w:szCs w:val="24"/>
        </w:rPr>
      </w:pPr>
      <w:r w:rsidRPr="00775662">
        <w:rPr>
          <w:rFonts w:asciiTheme="majorHAnsi" w:hAnsiTheme="majorHAnsi"/>
          <w:b/>
          <w:color w:val="3E7BB6"/>
          <w:sz w:val="28"/>
          <w:szCs w:val="24"/>
        </w:rPr>
        <w:t>GLOBAL ECONOMIC HEALTH</w:t>
      </w:r>
    </w:p>
    <w:p w:rsidR="00ED4CD5" w:rsidRDefault="00861533" w:rsidP="00A4481D">
      <w:pPr>
        <w:spacing w:line="276" w:lineRule="auto"/>
        <w:jc w:val="both"/>
        <w:rPr>
          <w:rFonts w:asciiTheme="majorHAnsi" w:hAnsiTheme="majorHAnsi"/>
          <w:sz w:val="24"/>
          <w:szCs w:val="24"/>
        </w:rPr>
      </w:pPr>
      <w:r>
        <w:rPr>
          <w:rFonts w:asciiTheme="majorHAnsi" w:hAnsiTheme="majorHAnsi"/>
          <w:sz w:val="24"/>
          <w:szCs w:val="24"/>
        </w:rPr>
        <w:t>On April 10, t</w:t>
      </w:r>
      <w:r>
        <w:rPr>
          <w:rFonts w:asciiTheme="majorHAnsi" w:hAnsiTheme="majorHAnsi"/>
          <w:sz w:val="24"/>
          <w:szCs w:val="24"/>
        </w:rPr>
        <w:t>he European Union extended the deadline for the Brexit</w:t>
      </w:r>
      <w:r>
        <w:rPr>
          <w:rFonts w:asciiTheme="majorHAnsi" w:hAnsiTheme="majorHAnsi"/>
          <w:sz w:val="24"/>
          <w:szCs w:val="24"/>
        </w:rPr>
        <w:t xml:space="preserve"> to October 31, temporarily assuaging fears that the United Kingdom would leave the E.U. without any divorce deal. In announcing this agreement, European Council President Donald Tusk warned U.K. leaders, “Please do not waste this time.” The extension has </w:t>
      </w:r>
      <w:r>
        <w:rPr>
          <w:rFonts w:asciiTheme="majorHAnsi" w:hAnsiTheme="majorHAnsi"/>
          <w:sz w:val="24"/>
          <w:szCs w:val="24"/>
        </w:rPr>
        <w:t>actually been called a “flextension,” as the U.K. is free to leave the E.U. at any time before Halloween if its Parliament can finally agree to pass a withdrawal deal.</w:t>
      </w:r>
      <w:r w:rsidRPr="009154B5">
        <w:rPr>
          <w:rFonts w:asciiTheme="majorHAnsi" w:hAnsiTheme="majorHAnsi"/>
          <w:sz w:val="24"/>
          <w:szCs w:val="24"/>
          <w:vertAlign w:val="superscript"/>
        </w:rPr>
        <w:t>5</w:t>
      </w:r>
    </w:p>
    <w:p w:rsidR="00775662" w:rsidRPr="00521D57" w:rsidRDefault="00861533" w:rsidP="00A4481D">
      <w:pPr>
        <w:spacing w:line="276" w:lineRule="auto"/>
        <w:jc w:val="both"/>
        <w:rPr>
          <w:rFonts w:asciiTheme="majorHAnsi" w:hAnsiTheme="majorHAnsi"/>
          <w:sz w:val="24"/>
          <w:szCs w:val="24"/>
          <w:vertAlign w:val="superscript"/>
        </w:rPr>
      </w:pPr>
      <w:r>
        <w:rPr>
          <w:rFonts w:asciiTheme="majorHAnsi" w:hAnsiTheme="majorHAnsi"/>
          <w:sz w:val="24"/>
          <w:szCs w:val="24"/>
        </w:rPr>
        <w:t xml:space="preserve">As April ended, a U.S. delegation landed in Beijing to further trade talks with China, </w:t>
      </w:r>
      <w:r>
        <w:rPr>
          <w:rFonts w:asciiTheme="majorHAnsi" w:hAnsiTheme="majorHAnsi"/>
          <w:sz w:val="24"/>
          <w:szCs w:val="24"/>
        </w:rPr>
        <w:t>intent to make “substantial” progress toward a truce in the tariff dispute between the two countries.</w:t>
      </w:r>
      <w:r>
        <w:rPr>
          <w:rFonts w:asciiTheme="majorHAnsi" w:hAnsiTheme="majorHAnsi"/>
          <w:sz w:val="24"/>
          <w:szCs w:val="24"/>
        </w:rPr>
        <w:t xml:space="preserve"> While Secr</w:t>
      </w:r>
      <w:r>
        <w:rPr>
          <w:rFonts w:asciiTheme="majorHAnsi" w:hAnsiTheme="majorHAnsi"/>
          <w:sz w:val="24"/>
          <w:szCs w:val="24"/>
        </w:rPr>
        <w:t xml:space="preserve">etary of the Treasury Steven Mnuchin told Bloomberg on April 30 that </w:t>
      </w:r>
      <w:r>
        <w:rPr>
          <w:rFonts w:asciiTheme="majorHAnsi" w:hAnsiTheme="majorHAnsi"/>
          <w:sz w:val="24"/>
          <w:szCs w:val="24"/>
        </w:rPr>
        <w:t xml:space="preserve">an </w:t>
      </w:r>
      <w:r>
        <w:rPr>
          <w:rFonts w:asciiTheme="majorHAnsi" w:hAnsiTheme="majorHAnsi"/>
          <w:sz w:val="24"/>
          <w:szCs w:val="24"/>
        </w:rPr>
        <w:t>agreement on trade enforcement methods was “close to done,” there was st</w:t>
      </w:r>
      <w:r>
        <w:rPr>
          <w:rFonts w:asciiTheme="majorHAnsi" w:hAnsiTheme="majorHAnsi"/>
          <w:sz w:val="24"/>
          <w:szCs w:val="24"/>
        </w:rPr>
        <w:t xml:space="preserve">ill much headway to be made on other issues. China’s official manufacturing purchasing managers index was close to the contraction line of 50 in April, coming in at 50.1. Elsewhere in the region, Taiwan’s economy expanded 1.7% in Q1, but officials in Hong </w:t>
      </w:r>
      <w:r>
        <w:rPr>
          <w:rFonts w:asciiTheme="majorHAnsi" w:hAnsiTheme="majorHAnsi"/>
          <w:sz w:val="24"/>
          <w:szCs w:val="24"/>
        </w:rPr>
        <w:t>Kong announced its economy was slowing; factory output in Japan and South Korea also fell during the year ending in March.</w:t>
      </w:r>
      <w:r w:rsidRPr="009154B5">
        <w:rPr>
          <w:rFonts w:asciiTheme="majorHAnsi" w:hAnsiTheme="majorHAnsi"/>
          <w:sz w:val="24"/>
          <w:szCs w:val="24"/>
          <w:vertAlign w:val="superscript"/>
        </w:rPr>
        <w:t>6</w:t>
      </w:r>
      <w:r>
        <w:rPr>
          <w:rFonts w:asciiTheme="majorHAnsi" w:hAnsiTheme="majorHAnsi"/>
          <w:sz w:val="24"/>
          <w:szCs w:val="24"/>
        </w:rPr>
        <w:t xml:space="preserve"> </w:t>
      </w:r>
    </w:p>
    <w:p w:rsidR="00775662" w:rsidRPr="00DD38C0" w:rsidRDefault="00861533" w:rsidP="00EE6BF2">
      <w:pPr>
        <w:spacing w:line="276" w:lineRule="auto"/>
        <w:jc w:val="both"/>
        <w:rPr>
          <w:rFonts w:asciiTheme="majorHAnsi" w:hAnsiTheme="majorHAnsi"/>
          <w:sz w:val="6"/>
          <w:szCs w:val="24"/>
        </w:rPr>
      </w:pPr>
    </w:p>
    <w:p w:rsidR="00B87E49" w:rsidRDefault="00861533" w:rsidP="00946B0D">
      <w:pPr>
        <w:pStyle w:val="PlainText"/>
        <w:spacing w:after="160" w:line="276" w:lineRule="auto"/>
        <w:jc w:val="both"/>
        <w:rPr>
          <w:rFonts w:asciiTheme="majorHAnsi" w:hAnsiTheme="majorHAnsi"/>
          <w:b/>
          <w:color w:val="3E7BB6"/>
          <w:sz w:val="28"/>
          <w:szCs w:val="24"/>
        </w:rPr>
      </w:pPr>
      <w:r w:rsidRPr="00775662">
        <w:rPr>
          <w:rFonts w:asciiTheme="majorHAnsi" w:hAnsiTheme="majorHAnsi"/>
          <w:b/>
          <w:color w:val="3E7BB6"/>
          <w:sz w:val="28"/>
          <w:szCs w:val="24"/>
        </w:rPr>
        <w:t>WORLD MARKETS</w:t>
      </w:r>
    </w:p>
    <w:p w:rsidR="009839AF" w:rsidRDefault="00861533" w:rsidP="009839AF">
      <w:pPr>
        <w:pStyle w:val="PlainText"/>
        <w:spacing w:after="160" w:line="276" w:lineRule="auto"/>
        <w:jc w:val="both"/>
        <w:rPr>
          <w:rFonts w:asciiTheme="majorHAnsi" w:hAnsiTheme="majorHAnsi" w:cstheme="majorHAnsi"/>
          <w:sz w:val="24"/>
          <w:szCs w:val="24"/>
        </w:rPr>
      </w:pPr>
      <w:r>
        <w:rPr>
          <w:rFonts w:asciiTheme="majorHAnsi" w:hAnsiTheme="majorHAnsi" w:cstheme="majorHAnsi"/>
          <w:sz w:val="24"/>
          <w:szCs w:val="24"/>
        </w:rPr>
        <w:t>Gains were widespread last mont</w:t>
      </w:r>
      <w:r w:rsidRPr="003419D8">
        <w:rPr>
          <w:rFonts w:asciiTheme="majorHAnsi" w:hAnsiTheme="majorHAnsi" w:cstheme="majorHAnsi"/>
          <w:sz w:val="24"/>
          <w:szCs w:val="24"/>
        </w:rPr>
        <w:t>h, with two benchmarks rising more than 5%: Germany’s DAX rose 7.10%</w:t>
      </w:r>
      <w:r>
        <w:rPr>
          <w:rFonts w:asciiTheme="majorHAnsi" w:hAnsiTheme="majorHAnsi" w:cstheme="majorHAnsi"/>
          <w:sz w:val="24"/>
          <w:szCs w:val="24"/>
        </w:rPr>
        <w:t xml:space="preserve">, and </w:t>
      </w:r>
      <w:r w:rsidRPr="00F06E08">
        <w:rPr>
          <w:rFonts w:asciiTheme="majorHAnsi" w:hAnsiTheme="majorHAnsi" w:cstheme="majorHAnsi"/>
          <w:sz w:val="24"/>
          <w:szCs w:val="24"/>
        </w:rPr>
        <w:t>Singapore’s</w:t>
      </w:r>
      <w:r w:rsidRPr="00F06E08">
        <w:rPr>
          <w:rFonts w:asciiTheme="majorHAnsi" w:hAnsiTheme="majorHAnsi" w:cstheme="majorHAnsi"/>
          <w:sz w:val="24"/>
          <w:szCs w:val="24"/>
        </w:rPr>
        <w:t xml:space="preserve"> STI</w:t>
      </w:r>
      <w:r>
        <w:rPr>
          <w:rFonts w:asciiTheme="majorHAnsi" w:hAnsiTheme="majorHAnsi" w:cstheme="majorHAnsi"/>
          <w:sz w:val="24"/>
          <w:szCs w:val="24"/>
        </w:rPr>
        <w:t>,</w:t>
      </w:r>
      <w:r>
        <w:rPr>
          <w:rFonts w:asciiTheme="majorHAnsi" w:hAnsiTheme="majorHAnsi" w:cstheme="majorHAnsi"/>
          <w:sz w:val="24"/>
          <w:szCs w:val="24"/>
        </w:rPr>
        <w:t xml:space="preserve"> </w:t>
      </w:r>
      <w:r w:rsidRPr="00F06E08">
        <w:rPr>
          <w:rFonts w:asciiTheme="majorHAnsi" w:hAnsiTheme="majorHAnsi" w:cstheme="majorHAnsi"/>
          <w:sz w:val="24"/>
          <w:szCs w:val="24"/>
        </w:rPr>
        <w:t xml:space="preserve">5.83%. </w:t>
      </w:r>
      <w:r w:rsidRPr="00F06E08">
        <w:rPr>
          <w:rFonts w:asciiTheme="majorHAnsi" w:hAnsiTheme="majorHAnsi" w:cstheme="majorHAnsi"/>
          <w:sz w:val="24"/>
          <w:szCs w:val="24"/>
        </w:rPr>
        <w:t>Other major advances: France’s CAC 40, 4.41%; Taiwan</w:t>
      </w:r>
      <w:r>
        <w:rPr>
          <w:rFonts w:asciiTheme="majorHAnsi" w:hAnsiTheme="majorHAnsi" w:cstheme="majorHAnsi"/>
          <w:sz w:val="24"/>
          <w:szCs w:val="24"/>
        </w:rPr>
        <w:t>’</w:t>
      </w:r>
      <w:r w:rsidRPr="00F06E08">
        <w:rPr>
          <w:rFonts w:asciiTheme="majorHAnsi" w:hAnsiTheme="majorHAnsi" w:cstheme="majorHAnsi"/>
          <w:sz w:val="24"/>
          <w:szCs w:val="24"/>
        </w:rPr>
        <w:t xml:space="preserve">s TSE 50, 4.16%; Japan’s Nikkei 225, 4.12%; Spain’s </w:t>
      </w:r>
      <w:r w:rsidRPr="00560200">
        <w:rPr>
          <w:rFonts w:asciiTheme="majorHAnsi" w:hAnsiTheme="majorHAnsi" w:cstheme="majorHAnsi"/>
          <w:sz w:val="24"/>
          <w:szCs w:val="24"/>
        </w:rPr>
        <w:t xml:space="preserve">IBEX 35, 3.57%; the FTSEurofirst 300, 3.06%; Mexico’s Bolsa, 3.04%; Canada’s TSX Composite, 2.97%; </w:t>
      </w:r>
      <w:r w:rsidRPr="00560200">
        <w:rPr>
          <w:rFonts w:asciiTheme="majorHAnsi" w:hAnsiTheme="majorHAnsi" w:cstheme="majorHAnsi"/>
          <w:sz w:val="24"/>
          <w:szCs w:val="24"/>
        </w:rPr>
        <w:t xml:space="preserve">South </w:t>
      </w:r>
      <w:r w:rsidRPr="008C77F1">
        <w:rPr>
          <w:rFonts w:asciiTheme="majorHAnsi" w:hAnsiTheme="majorHAnsi" w:cstheme="majorHAnsi"/>
          <w:sz w:val="24"/>
          <w:szCs w:val="24"/>
        </w:rPr>
        <w:t xml:space="preserve">Korea’s Kospi, 2.94%; </w:t>
      </w:r>
      <w:r>
        <w:rPr>
          <w:rFonts w:asciiTheme="majorHAnsi" w:hAnsiTheme="majorHAnsi" w:cstheme="majorHAnsi"/>
          <w:sz w:val="24"/>
          <w:szCs w:val="24"/>
        </w:rPr>
        <w:t xml:space="preserve">the </w:t>
      </w:r>
      <w:r w:rsidRPr="008C77F1">
        <w:rPr>
          <w:rFonts w:asciiTheme="majorHAnsi" w:hAnsiTheme="majorHAnsi" w:cstheme="majorHAnsi"/>
          <w:sz w:val="24"/>
          <w:szCs w:val="24"/>
        </w:rPr>
        <w:t xml:space="preserve">MSCI EAFE, 2.53%; Australia’s All Ordinaries, 2.50%; </w:t>
      </w:r>
      <w:r w:rsidRPr="008C77F1">
        <w:rPr>
          <w:rFonts w:asciiTheme="majorHAnsi" w:hAnsiTheme="majorHAnsi" w:cstheme="majorHAnsi"/>
          <w:sz w:val="24"/>
          <w:szCs w:val="24"/>
        </w:rPr>
        <w:t>Russia’s Micex, 2.49%.</w:t>
      </w:r>
      <w:r w:rsidRPr="008C77F1">
        <w:rPr>
          <w:rFonts w:asciiTheme="majorHAnsi" w:hAnsiTheme="majorHAnsi" w:cstheme="majorHAnsi"/>
          <w:sz w:val="24"/>
          <w:szCs w:val="24"/>
          <w:vertAlign w:val="superscript"/>
        </w:rPr>
        <w:t>7</w:t>
      </w:r>
      <w:r w:rsidRPr="008C77F1">
        <w:rPr>
          <w:rFonts w:asciiTheme="majorHAnsi" w:hAnsiTheme="majorHAnsi" w:cstheme="majorHAnsi"/>
          <w:sz w:val="24"/>
          <w:szCs w:val="24"/>
          <w:vertAlign w:val="superscript"/>
        </w:rPr>
        <w:t>,8</w:t>
      </w:r>
      <w:r w:rsidRPr="008C77F1">
        <w:rPr>
          <w:rFonts w:asciiTheme="majorHAnsi" w:hAnsiTheme="majorHAnsi" w:cstheme="majorHAnsi"/>
          <w:sz w:val="24"/>
          <w:szCs w:val="24"/>
        </w:rPr>
        <w:t xml:space="preserve"> </w:t>
      </w:r>
    </w:p>
    <w:p w:rsidR="00E35A04" w:rsidRPr="008C77F1" w:rsidRDefault="00861533" w:rsidP="009839AF">
      <w:pPr>
        <w:pStyle w:val="PlainText"/>
        <w:spacing w:after="160" w:line="276" w:lineRule="auto"/>
        <w:jc w:val="both"/>
        <w:rPr>
          <w:rFonts w:asciiTheme="majorHAnsi" w:hAnsiTheme="majorHAnsi" w:cstheme="majorHAnsi"/>
          <w:sz w:val="24"/>
          <w:szCs w:val="24"/>
        </w:rPr>
      </w:pPr>
      <w:r w:rsidRPr="008C77F1">
        <w:rPr>
          <w:rFonts w:asciiTheme="majorHAnsi" w:hAnsiTheme="majorHAnsi" w:cstheme="majorHAnsi"/>
          <w:sz w:val="24"/>
          <w:szCs w:val="24"/>
        </w:rPr>
        <w:t>There were only two notable retreats last mon</w:t>
      </w:r>
      <w:r w:rsidRPr="008C77F1">
        <w:rPr>
          <w:rFonts w:asciiTheme="majorHAnsi" w:hAnsiTheme="majorHAnsi" w:cstheme="majorHAnsi"/>
          <w:sz w:val="24"/>
          <w:szCs w:val="24"/>
        </w:rPr>
        <w:t xml:space="preserve">th. China’s Shanghai Composite lost 0.40%, and </w:t>
      </w:r>
      <w:r w:rsidRPr="008C77F1">
        <w:rPr>
          <w:rFonts w:asciiTheme="majorHAnsi" w:hAnsiTheme="majorHAnsi" w:cstheme="majorHAnsi"/>
          <w:sz w:val="24"/>
          <w:szCs w:val="24"/>
        </w:rPr>
        <w:t>Argentina</w:t>
      </w:r>
      <w:r>
        <w:rPr>
          <w:rFonts w:asciiTheme="majorHAnsi" w:hAnsiTheme="majorHAnsi" w:cstheme="majorHAnsi"/>
          <w:sz w:val="24"/>
          <w:szCs w:val="24"/>
        </w:rPr>
        <w:t>’</w:t>
      </w:r>
      <w:r w:rsidRPr="008C77F1">
        <w:rPr>
          <w:rFonts w:asciiTheme="majorHAnsi" w:hAnsiTheme="majorHAnsi" w:cstheme="majorHAnsi"/>
          <w:sz w:val="24"/>
          <w:szCs w:val="24"/>
        </w:rPr>
        <w:t xml:space="preserve">s Merval </w:t>
      </w:r>
      <w:r w:rsidRPr="008C77F1">
        <w:rPr>
          <w:rFonts w:asciiTheme="majorHAnsi" w:hAnsiTheme="majorHAnsi" w:cstheme="majorHAnsi"/>
          <w:sz w:val="24"/>
          <w:szCs w:val="24"/>
        </w:rPr>
        <w:t>dove</w:t>
      </w:r>
      <w:r w:rsidRPr="008C77F1">
        <w:rPr>
          <w:rFonts w:asciiTheme="majorHAnsi" w:hAnsiTheme="majorHAnsi" w:cstheme="majorHAnsi"/>
          <w:sz w:val="24"/>
          <w:szCs w:val="24"/>
        </w:rPr>
        <w:t xml:space="preserve"> 13.86%.</w:t>
      </w:r>
      <w:r w:rsidRPr="008C77F1">
        <w:rPr>
          <w:rFonts w:asciiTheme="majorHAnsi" w:hAnsiTheme="majorHAnsi" w:cstheme="majorHAnsi"/>
          <w:sz w:val="24"/>
          <w:szCs w:val="24"/>
          <w:vertAlign w:val="superscript"/>
        </w:rPr>
        <w:t>7</w:t>
      </w:r>
    </w:p>
    <w:p w:rsidR="00C22332" w:rsidRPr="00DD38C0" w:rsidRDefault="00861533" w:rsidP="00C22332">
      <w:pPr>
        <w:spacing w:line="276" w:lineRule="auto"/>
        <w:jc w:val="both"/>
        <w:rPr>
          <w:rFonts w:asciiTheme="majorHAnsi" w:hAnsiTheme="majorHAnsi"/>
          <w:sz w:val="6"/>
          <w:szCs w:val="24"/>
        </w:rPr>
      </w:pPr>
    </w:p>
    <w:p w:rsidR="00DD38C0" w:rsidRPr="00775662" w:rsidRDefault="00861533" w:rsidP="00946B0D">
      <w:pPr>
        <w:spacing w:line="276" w:lineRule="auto"/>
        <w:jc w:val="both"/>
        <w:rPr>
          <w:rFonts w:asciiTheme="majorHAnsi" w:hAnsiTheme="majorHAnsi"/>
          <w:b/>
          <w:color w:val="3E7BB6"/>
          <w:sz w:val="28"/>
          <w:szCs w:val="24"/>
        </w:rPr>
      </w:pPr>
      <w:r>
        <w:rPr>
          <w:rFonts w:asciiTheme="majorHAnsi" w:hAnsiTheme="majorHAnsi"/>
          <w:b/>
          <w:color w:val="3E7BB6"/>
          <w:sz w:val="28"/>
          <w:szCs w:val="24"/>
        </w:rPr>
        <w:t>COMMODITIES MARKETS</w:t>
      </w:r>
    </w:p>
    <w:p w:rsidR="00120370" w:rsidRPr="00120370" w:rsidRDefault="00861533" w:rsidP="00120370">
      <w:pPr>
        <w:pStyle w:val="PlainText"/>
        <w:spacing w:after="160" w:line="276" w:lineRule="auto"/>
        <w:jc w:val="both"/>
        <w:rPr>
          <w:rStyle w:val="st"/>
          <w:rFonts w:asciiTheme="majorHAnsi" w:hAnsiTheme="majorHAnsi"/>
          <w:sz w:val="24"/>
          <w:szCs w:val="24"/>
        </w:rPr>
      </w:pPr>
      <w:r w:rsidRPr="00120370">
        <w:rPr>
          <w:rStyle w:val="st"/>
          <w:rFonts w:asciiTheme="majorHAnsi" w:hAnsiTheme="majorHAnsi"/>
          <w:sz w:val="24"/>
          <w:szCs w:val="24"/>
        </w:rPr>
        <w:lastRenderedPageBreak/>
        <w:t xml:space="preserve">April saw </w:t>
      </w:r>
      <w:r>
        <w:rPr>
          <w:rStyle w:val="st"/>
          <w:rFonts w:asciiTheme="majorHAnsi" w:hAnsiTheme="majorHAnsi"/>
          <w:sz w:val="24"/>
          <w:szCs w:val="24"/>
        </w:rPr>
        <w:t>five</w:t>
      </w:r>
      <w:r w:rsidRPr="00120370">
        <w:rPr>
          <w:rStyle w:val="st"/>
          <w:rFonts w:asciiTheme="majorHAnsi" w:hAnsiTheme="majorHAnsi"/>
          <w:sz w:val="24"/>
          <w:szCs w:val="24"/>
        </w:rPr>
        <w:t xml:space="preserve"> major gains among </w:t>
      </w:r>
      <w:r>
        <w:rPr>
          <w:rStyle w:val="st"/>
          <w:rFonts w:asciiTheme="majorHAnsi" w:hAnsiTheme="majorHAnsi"/>
          <w:sz w:val="24"/>
          <w:szCs w:val="24"/>
        </w:rPr>
        <w:t xml:space="preserve">the </w:t>
      </w:r>
      <w:r w:rsidRPr="00120370">
        <w:rPr>
          <w:rStyle w:val="st"/>
          <w:rFonts w:asciiTheme="majorHAnsi" w:hAnsiTheme="majorHAnsi"/>
          <w:sz w:val="24"/>
          <w:szCs w:val="24"/>
        </w:rPr>
        <w:t>marquee commodities: u</w:t>
      </w:r>
      <w:r w:rsidRPr="00120370">
        <w:rPr>
          <w:rStyle w:val="st"/>
          <w:rFonts w:asciiTheme="majorHAnsi" w:hAnsiTheme="majorHAnsi"/>
          <w:sz w:val="24"/>
          <w:szCs w:val="24"/>
        </w:rPr>
        <w:t xml:space="preserve">nleaded gasoline </w:t>
      </w:r>
      <w:r>
        <w:rPr>
          <w:rStyle w:val="st"/>
          <w:rFonts w:asciiTheme="majorHAnsi" w:hAnsiTheme="majorHAnsi"/>
          <w:sz w:val="24"/>
          <w:szCs w:val="24"/>
        </w:rPr>
        <w:t>climbed</w:t>
      </w:r>
      <w:r w:rsidRPr="00120370">
        <w:rPr>
          <w:rStyle w:val="st"/>
          <w:rFonts w:asciiTheme="majorHAnsi" w:hAnsiTheme="majorHAnsi"/>
          <w:sz w:val="24"/>
          <w:szCs w:val="24"/>
        </w:rPr>
        <w:t xml:space="preserve"> 8.89%</w:t>
      </w:r>
      <w:r w:rsidRPr="00120370">
        <w:rPr>
          <w:rStyle w:val="st"/>
          <w:rFonts w:asciiTheme="majorHAnsi" w:hAnsiTheme="majorHAnsi"/>
          <w:sz w:val="24"/>
          <w:szCs w:val="24"/>
        </w:rPr>
        <w:t>,</w:t>
      </w:r>
      <w:r w:rsidRPr="00120370">
        <w:rPr>
          <w:rStyle w:val="st"/>
          <w:rFonts w:asciiTheme="majorHAnsi" w:hAnsiTheme="majorHAnsi"/>
          <w:sz w:val="24"/>
          <w:szCs w:val="24"/>
        </w:rPr>
        <w:t xml:space="preserve"> WTI crude</w:t>
      </w:r>
      <w:r>
        <w:rPr>
          <w:rStyle w:val="st"/>
          <w:rFonts w:asciiTheme="majorHAnsi" w:hAnsiTheme="majorHAnsi"/>
          <w:sz w:val="24"/>
          <w:szCs w:val="24"/>
        </w:rPr>
        <w:t xml:space="preserve"> oil</w:t>
      </w:r>
      <w:r w:rsidRPr="00120370">
        <w:rPr>
          <w:rStyle w:val="st"/>
          <w:rFonts w:asciiTheme="majorHAnsi" w:hAnsiTheme="majorHAnsi"/>
          <w:sz w:val="24"/>
          <w:szCs w:val="24"/>
        </w:rPr>
        <w:t xml:space="preserve"> </w:t>
      </w:r>
      <w:r w:rsidRPr="00120370">
        <w:rPr>
          <w:rStyle w:val="st"/>
          <w:rFonts w:asciiTheme="majorHAnsi" w:hAnsiTheme="majorHAnsi"/>
          <w:sz w:val="24"/>
          <w:szCs w:val="24"/>
        </w:rPr>
        <w:t xml:space="preserve">rose </w:t>
      </w:r>
      <w:r w:rsidRPr="00120370">
        <w:rPr>
          <w:rStyle w:val="st"/>
          <w:rFonts w:asciiTheme="majorHAnsi" w:hAnsiTheme="majorHAnsi"/>
          <w:sz w:val="24"/>
          <w:szCs w:val="24"/>
        </w:rPr>
        <w:t>5.98%,</w:t>
      </w:r>
      <w:r w:rsidRPr="00120370">
        <w:rPr>
          <w:rStyle w:val="st"/>
          <w:rFonts w:asciiTheme="majorHAnsi" w:hAnsiTheme="majorHAnsi"/>
          <w:sz w:val="24"/>
          <w:szCs w:val="24"/>
        </w:rPr>
        <w:t xml:space="preserve"> platinum added 5.34%, heating oil advanced 5.12%, and cocoa improved 4.64%. Where did WTI crude finish the month</w:t>
      </w:r>
      <w:r w:rsidRPr="00120370">
        <w:rPr>
          <w:rStyle w:val="st"/>
          <w:rFonts w:asciiTheme="majorHAnsi" w:hAnsiTheme="majorHAnsi"/>
          <w:sz w:val="24"/>
          <w:szCs w:val="24"/>
        </w:rPr>
        <w:t xml:space="preserve"> on the New York Mercantile Exchange</w:t>
      </w:r>
      <w:r w:rsidRPr="00120370">
        <w:rPr>
          <w:rStyle w:val="st"/>
          <w:rFonts w:asciiTheme="majorHAnsi" w:hAnsiTheme="majorHAnsi"/>
          <w:sz w:val="24"/>
          <w:szCs w:val="24"/>
        </w:rPr>
        <w:t>? At $63.80 per barrel</w:t>
      </w:r>
      <w:r w:rsidRPr="00120370">
        <w:rPr>
          <w:rStyle w:val="st"/>
          <w:rFonts w:asciiTheme="majorHAnsi" w:hAnsiTheme="majorHAnsi"/>
          <w:sz w:val="24"/>
          <w:szCs w:val="24"/>
        </w:rPr>
        <w:t>.</w:t>
      </w:r>
      <w:r>
        <w:rPr>
          <w:rStyle w:val="st"/>
          <w:rFonts w:asciiTheme="majorHAnsi" w:hAnsiTheme="majorHAnsi"/>
          <w:sz w:val="24"/>
          <w:szCs w:val="24"/>
          <w:vertAlign w:val="superscript"/>
        </w:rPr>
        <w:t>9</w:t>
      </w:r>
    </w:p>
    <w:p w:rsidR="001B3C06" w:rsidRPr="00120370" w:rsidRDefault="00861533" w:rsidP="00120370">
      <w:pPr>
        <w:pStyle w:val="PlainText"/>
        <w:spacing w:after="160" w:line="276" w:lineRule="auto"/>
        <w:jc w:val="both"/>
        <w:rPr>
          <w:rStyle w:val="st"/>
          <w:rFonts w:asciiTheme="majorHAnsi" w:hAnsiTheme="majorHAnsi"/>
          <w:sz w:val="24"/>
          <w:szCs w:val="24"/>
        </w:rPr>
      </w:pPr>
      <w:r w:rsidRPr="00120370">
        <w:rPr>
          <w:rStyle w:val="st"/>
          <w:rFonts w:asciiTheme="majorHAnsi" w:hAnsiTheme="majorHAnsi"/>
          <w:sz w:val="24"/>
          <w:szCs w:val="24"/>
        </w:rPr>
        <w:t xml:space="preserve">The U.S. Dollar Index gained 0.23% in April, reaching 97.50 at the April 30 </w:t>
      </w:r>
      <w:r w:rsidRPr="00120370">
        <w:rPr>
          <w:rStyle w:val="st"/>
          <w:rFonts w:asciiTheme="majorHAnsi" w:hAnsiTheme="majorHAnsi"/>
          <w:sz w:val="24"/>
          <w:szCs w:val="24"/>
        </w:rPr>
        <w:t>close. April retreats included g</w:t>
      </w:r>
      <w:r w:rsidRPr="00120370">
        <w:rPr>
          <w:rStyle w:val="st"/>
          <w:rFonts w:asciiTheme="majorHAnsi" w:hAnsiTheme="majorHAnsi"/>
          <w:sz w:val="24"/>
          <w:szCs w:val="24"/>
        </w:rPr>
        <w:t>old</w:t>
      </w:r>
      <w:r w:rsidRPr="00120370">
        <w:rPr>
          <w:rStyle w:val="st"/>
          <w:rFonts w:asciiTheme="majorHAnsi" w:hAnsiTheme="majorHAnsi"/>
          <w:sz w:val="24"/>
          <w:szCs w:val="24"/>
        </w:rPr>
        <w:t>,</w:t>
      </w:r>
      <w:r w:rsidRPr="00120370">
        <w:rPr>
          <w:rStyle w:val="st"/>
          <w:rFonts w:asciiTheme="majorHAnsi" w:hAnsiTheme="majorHAnsi"/>
          <w:sz w:val="24"/>
          <w:szCs w:val="24"/>
        </w:rPr>
        <w:t xml:space="preserve"> 0.40%</w:t>
      </w:r>
      <w:r w:rsidRPr="00120370">
        <w:rPr>
          <w:rStyle w:val="st"/>
          <w:rFonts w:asciiTheme="majorHAnsi" w:hAnsiTheme="majorHAnsi"/>
          <w:sz w:val="24"/>
          <w:szCs w:val="24"/>
        </w:rPr>
        <w:t>;</w:t>
      </w:r>
      <w:r w:rsidRPr="00120370">
        <w:rPr>
          <w:rStyle w:val="st"/>
          <w:rFonts w:asciiTheme="majorHAnsi" w:hAnsiTheme="majorHAnsi"/>
          <w:sz w:val="24"/>
          <w:szCs w:val="24"/>
        </w:rPr>
        <w:t xml:space="preserve"> </w:t>
      </w:r>
      <w:r w:rsidRPr="00120370">
        <w:rPr>
          <w:rStyle w:val="st"/>
          <w:rFonts w:asciiTheme="majorHAnsi" w:hAnsiTheme="majorHAnsi"/>
          <w:sz w:val="24"/>
          <w:szCs w:val="24"/>
        </w:rPr>
        <w:t xml:space="preserve">corn, 0.84%; cotton, 0.85%; </w:t>
      </w:r>
      <w:r w:rsidRPr="00120370">
        <w:rPr>
          <w:rStyle w:val="st"/>
          <w:rFonts w:asciiTheme="majorHAnsi" w:hAnsiTheme="majorHAnsi"/>
          <w:sz w:val="24"/>
          <w:szCs w:val="24"/>
        </w:rPr>
        <w:t>silver</w:t>
      </w:r>
      <w:r w:rsidRPr="00120370">
        <w:rPr>
          <w:rStyle w:val="st"/>
          <w:rFonts w:asciiTheme="majorHAnsi" w:hAnsiTheme="majorHAnsi"/>
          <w:sz w:val="24"/>
          <w:szCs w:val="24"/>
        </w:rPr>
        <w:t>,</w:t>
      </w:r>
      <w:r w:rsidRPr="00120370">
        <w:rPr>
          <w:rStyle w:val="st"/>
          <w:rFonts w:asciiTheme="majorHAnsi" w:hAnsiTheme="majorHAnsi"/>
          <w:sz w:val="24"/>
          <w:szCs w:val="24"/>
        </w:rPr>
        <w:t xml:space="preserve"> 0.96%</w:t>
      </w:r>
      <w:r w:rsidRPr="00120370">
        <w:rPr>
          <w:rStyle w:val="st"/>
          <w:rFonts w:asciiTheme="majorHAnsi" w:hAnsiTheme="majorHAnsi"/>
          <w:sz w:val="24"/>
          <w:szCs w:val="24"/>
        </w:rPr>
        <w:t>;</w:t>
      </w:r>
      <w:r w:rsidRPr="00120370">
        <w:rPr>
          <w:rStyle w:val="st"/>
          <w:rFonts w:asciiTheme="majorHAnsi" w:hAnsiTheme="majorHAnsi"/>
          <w:sz w:val="24"/>
          <w:szCs w:val="24"/>
        </w:rPr>
        <w:t xml:space="preserve"> copper</w:t>
      </w:r>
      <w:r w:rsidRPr="00120370">
        <w:rPr>
          <w:rStyle w:val="st"/>
          <w:rFonts w:asciiTheme="majorHAnsi" w:hAnsiTheme="majorHAnsi"/>
          <w:sz w:val="24"/>
          <w:szCs w:val="24"/>
        </w:rPr>
        <w:t>,</w:t>
      </w:r>
      <w:r w:rsidRPr="00120370">
        <w:rPr>
          <w:rStyle w:val="st"/>
          <w:rFonts w:asciiTheme="majorHAnsi" w:hAnsiTheme="majorHAnsi"/>
          <w:sz w:val="24"/>
          <w:szCs w:val="24"/>
        </w:rPr>
        <w:t xml:space="preserve"> 0.99%</w:t>
      </w:r>
      <w:r w:rsidRPr="00120370">
        <w:rPr>
          <w:rStyle w:val="st"/>
          <w:rFonts w:asciiTheme="majorHAnsi" w:hAnsiTheme="majorHAnsi"/>
          <w:sz w:val="24"/>
          <w:szCs w:val="24"/>
        </w:rPr>
        <w:t>;</w:t>
      </w:r>
      <w:r w:rsidRPr="00120370">
        <w:rPr>
          <w:rStyle w:val="st"/>
          <w:rFonts w:asciiTheme="majorHAnsi" w:hAnsiTheme="majorHAnsi"/>
          <w:sz w:val="24"/>
          <w:szCs w:val="24"/>
        </w:rPr>
        <w:t xml:space="preserve"> </w:t>
      </w:r>
      <w:r w:rsidRPr="00120370">
        <w:rPr>
          <w:rStyle w:val="st"/>
          <w:rFonts w:asciiTheme="majorHAnsi" w:hAnsiTheme="majorHAnsi"/>
          <w:sz w:val="24"/>
          <w:szCs w:val="24"/>
        </w:rPr>
        <w:t>coffee, 3.07%; natural gas, 3.59%; soybeans, 4.81%; sugar, 7.18%; wheat, 8.87%. G</w:t>
      </w:r>
      <w:r w:rsidRPr="00120370">
        <w:rPr>
          <w:rStyle w:val="st"/>
          <w:rFonts w:asciiTheme="majorHAnsi" w:hAnsiTheme="majorHAnsi"/>
          <w:sz w:val="24"/>
          <w:szCs w:val="24"/>
        </w:rPr>
        <w:t>old was worth $1,285.40 on the NYMEX’s Commodity Exchange (COMEX)</w:t>
      </w:r>
      <w:r w:rsidRPr="00120370">
        <w:rPr>
          <w:rStyle w:val="st"/>
          <w:rFonts w:asciiTheme="majorHAnsi" w:hAnsiTheme="majorHAnsi"/>
          <w:sz w:val="24"/>
          <w:szCs w:val="24"/>
        </w:rPr>
        <w:t xml:space="preserve"> at the </w:t>
      </w:r>
      <w:r w:rsidRPr="00120370">
        <w:rPr>
          <w:rStyle w:val="st"/>
          <w:rFonts w:asciiTheme="majorHAnsi" w:hAnsiTheme="majorHAnsi"/>
          <w:sz w:val="24"/>
          <w:szCs w:val="24"/>
        </w:rPr>
        <w:t>April 30 closing bell</w:t>
      </w:r>
      <w:r>
        <w:rPr>
          <w:rStyle w:val="st"/>
          <w:rFonts w:asciiTheme="majorHAnsi" w:hAnsiTheme="majorHAnsi"/>
          <w:sz w:val="24"/>
          <w:szCs w:val="24"/>
        </w:rPr>
        <w:t xml:space="preserve">; </w:t>
      </w:r>
      <w:r w:rsidRPr="00120370">
        <w:rPr>
          <w:rStyle w:val="st"/>
          <w:rFonts w:asciiTheme="majorHAnsi" w:hAnsiTheme="majorHAnsi"/>
          <w:sz w:val="24"/>
          <w:szCs w:val="24"/>
        </w:rPr>
        <w:t>silver</w:t>
      </w:r>
      <w:r>
        <w:rPr>
          <w:rStyle w:val="st"/>
          <w:rFonts w:asciiTheme="majorHAnsi" w:hAnsiTheme="majorHAnsi"/>
          <w:sz w:val="24"/>
          <w:szCs w:val="24"/>
        </w:rPr>
        <w:t>,</w:t>
      </w:r>
      <w:r w:rsidRPr="00120370">
        <w:rPr>
          <w:rStyle w:val="st"/>
          <w:rFonts w:asciiTheme="majorHAnsi" w:hAnsiTheme="majorHAnsi"/>
          <w:sz w:val="24"/>
          <w:szCs w:val="24"/>
        </w:rPr>
        <w:t xml:space="preserve"> $14.90.</w:t>
      </w:r>
      <w:r w:rsidRPr="00120370">
        <w:rPr>
          <w:rStyle w:val="st"/>
          <w:rFonts w:asciiTheme="majorHAnsi" w:hAnsiTheme="majorHAnsi"/>
          <w:sz w:val="24"/>
          <w:szCs w:val="24"/>
          <w:vertAlign w:val="superscript"/>
        </w:rPr>
        <w:t>9</w:t>
      </w:r>
      <w:r>
        <w:rPr>
          <w:rStyle w:val="st"/>
          <w:rFonts w:asciiTheme="majorHAnsi" w:hAnsiTheme="majorHAnsi"/>
          <w:sz w:val="24"/>
          <w:szCs w:val="24"/>
          <w:vertAlign w:val="superscript"/>
        </w:rPr>
        <w:t>,10</w:t>
      </w:r>
    </w:p>
    <w:p w:rsidR="00A4481D" w:rsidRPr="00DD38C0" w:rsidRDefault="00861533" w:rsidP="00A4481D">
      <w:pPr>
        <w:spacing w:line="276" w:lineRule="auto"/>
        <w:jc w:val="both"/>
        <w:rPr>
          <w:rFonts w:asciiTheme="majorHAnsi" w:hAnsiTheme="majorHAnsi"/>
          <w:sz w:val="6"/>
          <w:szCs w:val="24"/>
        </w:rPr>
      </w:pPr>
    </w:p>
    <w:p w:rsidR="002405DE" w:rsidRPr="00775662" w:rsidRDefault="00861533" w:rsidP="002405DE">
      <w:pPr>
        <w:spacing w:line="276" w:lineRule="auto"/>
        <w:jc w:val="both"/>
        <w:rPr>
          <w:rFonts w:asciiTheme="majorHAnsi" w:hAnsiTheme="majorHAnsi"/>
          <w:b/>
          <w:color w:val="3E7BB6"/>
          <w:sz w:val="28"/>
          <w:szCs w:val="24"/>
        </w:rPr>
      </w:pPr>
      <w:r>
        <w:rPr>
          <w:rFonts w:asciiTheme="majorHAnsi" w:hAnsiTheme="majorHAnsi"/>
          <w:b/>
          <w:color w:val="3E7BB6"/>
          <w:sz w:val="28"/>
          <w:szCs w:val="24"/>
        </w:rPr>
        <w:t>REAL ESTATE</w:t>
      </w:r>
    </w:p>
    <w:p w:rsidR="000E566E" w:rsidRPr="008059E3" w:rsidRDefault="00861533" w:rsidP="00512529">
      <w:pPr>
        <w:spacing w:line="276" w:lineRule="auto"/>
        <w:jc w:val="both"/>
        <w:rPr>
          <w:rStyle w:val="st"/>
          <w:rFonts w:asciiTheme="majorHAnsi" w:hAnsiTheme="majorHAnsi"/>
          <w:sz w:val="24"/>
          <w:szCs w:val="24"/>
        </w:rPr>
      </w:pPr>
      <w:r>
        <w:rPr>
          <w:rStyle w:val="st"/>
          <w:rFonts w:asciiTheme="majorHAnsi" w:eastAsia="Calibri" w:hAnsiTheme="majorHAnsi" w:cs="Consolas"/>
          <w:sz w:val="24"/>
          <w:szCs w:val="24"/>
        </w:rPr>
        <w:t>First</w:t>
      </w:r>
      <w:r>
        <w:rPr>
          <w:rStyle w:val="st"/>
          <w:rFonts w:asciiTheme="majorHAnsi" w:eastAsia="Calibri" w:hAnsiTheme="majorHAnsi" w:cs="Consolas"/>
          <w:sz w:val="24"/>
          <w:szCs w:val="24"/>
        </w:rPr>
        <w:t>,</w:t>
      </w:r>
      <w:r>
        <w:rPr>
          <w:rStyle w:val="st"/>
          <w:rFonts w:asciiTheme="majorHAnsi" w:eastAsia="Calibri" w:hAnsiTheme="majorHAnsi" w:cs="Consolas"/>
          <w:sz w:val="24"/>
          <w:szCs w:val="24"/>
        </w:rPr>
        <w:t xml:space="preserve"> the bad news</w:t>
      </w:r>
      <w:r>
        <w:rPr>
          <w:rStyle w:val="st"/>
          <w:rFonts w:asciiTheme="majorHAnsi" w:eastAsia="Calibri" w:hAnsiTheme="majorHAnsi" w:cs="Consolas"/>
          <w:sz w:val="24"/>
          <w:szCs w:val="24"/>
        </w:rPr>
        <w:t>.</w:t>
      </w:r>
      <w:r>
        <w:rPr>
          <w:rStyle w:val="st"/>
          <w:rFonts w:asciiTheme="majorHAnsi" w:eastAsia="Calibri" w:hAnsiTheme="majorHAnsi" w:cs="Consolas"/>
          <w:sz w:val="24"/>
          <w:szCs w:val="24"/>
        </w:rPr>
        <w:t xml:space="preserve"> </w:t>
      </w:r>
      <w:r>
        <w:rPr>
          <w:rStyle w:val="st"/>
          <w:rFonts w:asciiTheme="majorHAnsi" w:eastAsia="Calibri" w:hAnsiTheme="majorHAnsi" w:cs="Consolas"/>
          <w:sz w:val="24"/>
          <w:szCs w:val="24"/>
        </w:rPr>
        <w:t>E</w:t>
      </w:r>
      <w:r>
        <w:rPr>
          <w:rStyle w:val="st"/>
          <w:rFonts w:asciiTheme="majorHAnsi" w:eastAsia="Calibri" w:hAnsiTheme="majorHAnsi" w:cs="Consolas"/>
          <w:sz w:val="24"/>
          <w:szCs w:val="24"/>
        </w:rPr>
        <w:t>xisting home sales declined again</w:t>
      </w:r>
      <w:r w:rsidRPr="00FD6F01">
        <w:rPr>
          <w:rStyle w:val="st"/>
          <w:rFonts w:asciiTheme="majorHAnsi" w:hAnsiTheme="majorHAnsi"/>
          <w:sz w:val="24"/>
          <w:szCs w:val="24"/>
        </w:rPr>
        <w:t>.</w:t>
      </w:r>
      <w:r>
        <w:rPr>
          <w:rStyle w:val="st"/>
          <w:rFonts w:asciiTheme="majorHAnsi" w:hAnsiTheme="majorHAnsi"/>
          <w:sz w:val="24"/>
          <w:szCs w:val="24"/>
        </w:rPr>
        <w:t xml:space="preserve"> </w:t>
      </w:r>
      <w:r>
        <w:rPr>
          <w:rStyle w:val="st"/>
          <w:rFonts w:asciiTheme="majorHAnsi" w:hAnsiTheme="majorHAnsi"/>
          <w:sz w:val="24"/>
          <w:szCs w:val="24"/>
        </w:rPr>
        <w:t>They were down</w:t>
      </w:r>
      <w:r>
        <w:rPr>
          <w:rStyle w:val="st"/>
          <w:rFonts w:asciiTheme="majorHAnsi" w:hAnsiTheme="majorHAnsi"/>
          <w:sz w:val="24"/>
          <w:szCs w:val="24"/>
        </w:rPr>
        <w:t xml:space="preserve"> 4.9% for March, according to the National Association of Realtors, falling right at the start of the spring home buying season. (They were also down 5.4% year-over-year.)</w:t>
      </w:r>
      <w:r w:rsidRPr="0018730B">
        <w:rPr>
          <w:rStyle w:val="st"/>
          <w:rFonts w:asciiTheme="majorHAnsi" w:hAnsiTheme="majorHAnsi"/>
          <w:sz w:val="24"/>
          <w:szCs w:val="24"/>
          <w:vertAlign w:val="superscript"/>
        </w:rPr>
        <w:t>11</w:t>
      </w:r>
    </w:p>
    <w:p w:rsidR="0018730B" w:rsidRPr="008059E3" w:rsidRDefault="00861533" w:rsidP="0018730B">
      <w:pPr>
        <w:spacing w:line="276" w:lineRule="auto"/>
        <w:jc w:val="both"/>
        <w:rPr>
          <w:rStyle w:val="st"/>
          <w:rFonts w:asciiTheme="majorHAnsi" w:hAnsiTheme="majorHAnsi"/>
          <w:sz w:val="24"/>
          <w:szCs w:val="24"/>
        </w:rPr>
      </w:pPr>
      <w:r>
        <w:rPr>
          <w:rStyle w:val="st"/>
          <w:rFonts w:asciiTheme="majorHAnsi" w:eastAsia="Calibri" w:hAnsiTheme="majorHAnsi" w:cs="Consolas"/>
          <w:sz w:val="24"/>
          <w:szCs w:val="24"/>
        </w:rPr>
        <w:t xml:space="preserve">Mortgage rates crept back up. </w:t>
      </w:r>
      <w:r>
        <w:rPr>
          <w:rStyle w:val="st"/>
          <w:rFonts w:asciiTheme="majorHAnsi" w:eastAsia="Calibri" w:hAnsiTheme="majorHAnsi" w:cs="Consolas"/>
          <w:sz w:val="24"/>
          <w:szCs w:val="24"/>
        </w:rPr>
        <w:t>The average interest rate on the 30-year</w:t>
      </w:r>
      <w:r>
        <w:rPr>
          <w:rStyle w:val="st"/>
          <w:rFonts w:asciiTheme="majorHAnsi" w:eastAsia="Calibri" w:hAnsiTheme="majorHAnsi" w:cs="Consolas"/>
          <w:sz w:val="24"/>
          <w:szCs w:val="24"/>
        </w:rPr>
        <w:t>,</w:t>
      </w:r>
      <w:r>
        <w:rPr>
          <w:rStyle w:val="st"/>
          <w:rFonts w:asciiTheme="majorHAnsi" w:eastAsia="Calibri" w:hAnsiTheme="majorHAnsi" w:cs="Consolas"/>
          <w:sz w:val="24"/>
          <w:szCs w:val="24"/>
        </w:rPr>
        <w:t xml:space="preserve"> fixed</w:t>
      </w:r>
      <w:r>
        <w:rPr>
          <w:rStyle w:val="st"/>
          <w:rFonts w:asciiTheme="majorHAnsi" w:eastAsia="Calibri" w:hAnsiTheme="majorHAnsi" w:cs="Consolas"/>
          <w:sz w:val="24"/>
          <w:szCs w:val="24"/>
        </w:rPr>
        <w:t>-</w:t>
      </w:r>
      <w:r>
        <w:rPr>
          <w:rStyle w:val="st"/>
          <w:rFonts w:asciiTheme="majorHAnsi" w:eastAsia="Calibri" w:hAnsiTheme="majorHAnsi" w:cs="Consolas"/>
          <w:sz w:val="24"/>
          <w:szCs w:val="24"/>
        </w:rPr>
        <w:t>rate</w:t>
      </w:r>
      <w:r>
        <w:rPr>
          <w:rStyle w:val="st"/>
          <w:rFonts w:asciiTheme="majorHAnsi" w:eastAsia="Calibri" w:hAnsiTheme="majorHAnsi" w:cs="Consolas"/>
          <w:sz w:val="24"/>
          <w:szCs w:val="24"/>
        </w:rPr>
        <w:t xml:space="preserve"> home loan, per Freddie Mac’s weekly Primary Mortgage Market Survey, reached 4.20% on April 25; it had been 4.08% back on March 28. </w:t>
      </w:r>
      <w:r>
        <w:rPr>
          <w:rStyle w:val="st"/>
          <w:rFonts w:asciiTheme="majorHAnsi" w:hAnsiTheme="majorHAnsi"/>
          <w:sz w:val="24"/>
          <w:szCs w:val="24"/>
        </w:rPr>
        <w:t>Average interest on the 15-year</w:t>
      </w:r>
      <w:r>
        <w:rPr>
          <w:rStyle w:val="st"/>
          <w:rFonts w:asciiTheme="majorHAnsi" w:hAnsiTheme="majorHAnsi"/>
          <w:sz w:val="24"/>
          <w:szCs w:val="24"/>
        </w:rPr>
        <w:t>,</w:t>
      </w:r>
      <w:r>
        <w:rPr>
          <w:rStyle w:val="st"/>
          <w:rFonts w:asciiTheme="majorHAnsi" w:hAnsiTheme="majorHAnsi"/>
          <w:sz w:val="24"/>
          <w:szCs w:val="24"/>
        </w:rPr>
        <w:t xml:space="preserve"> fixed-rate home loan also rose from 3.57% to 3.64% in that time</w:t>
      </w:r>
      <w:r>
        <w:rPr>
          <w:rStyle w:val="st"/>
          <w:rFonts w:asciiTheme="majorHAnsi" w:hAnsiTheme="majorHAnsi"/>
          <w:sz w:val="24"/>
          <w:szCs w:val="24"/>
        </w:rPr>
        <w:t>f</w:t>
      </w:r>
      <w:r>
        <w:rPr>
          <w:rStyle w:val="st"/>
          <w:rFonts w:asciiTheme="majorHAnsi" w:hAnsiTheme="majorHAnsi"/>
          <w:sz w:val="24"/>
          <w:szCs w:val="24"/>
        </w:rPr>
        <w:t>rame.</w:t>
      </w:r>
      <w:r w:rsidRPr="0018730B">
        <w:rPr>
          <w:rStyle w:val="st"/>
          <w:rFonts w:asciiTheme="majorHAnsi" w:hAnsiTheme="majorHAnsi"/>
          <w:sz w:val="24"/>
          <w:szCs w:val="24"/>
          <w:vertAlign w:val="superscript"/>
        </w:rPr>
        <w:t>1</w:t>
      </w:r>
      <w:r>
        <w:rPr>
          <w:rStyle w:val="st"/>
          <w:rFonts w:asciiTheme="majorHAnsi" w:hAnsiTheme="majorHAnsi"/>
          <w:sz w:val="24"/>
          <w:szCs w:val="24"/>
          <w:vertAlign w:val="superscript"/>
        </w:rPr>
        <w:t>2</w:t>
      </w:r>
    </w:p>
    <w:p w:rsidR="0018730B" w:rsidRPr="008059E3" w:rsidRDefault="00861533" w:rsidP="0018730B">
      <w:pPr>
        <w:spacing w:line="276" w:lineRule="auto"/>
        <w:jc w:val="both"/>
        <w:rPr>
          <w:rStyle w:val="st"/>
          <w:rFonts w:asciiTheme="majorHAnsi" w:hAnsiTheme="majorHAnsi"/>
          <w:sz w:val="24"/>
          <w:szCs w:val="24"/>
        </w:rPr>
      </w:pPr>
      <w:r>
        <w:rPr>
          <w:rStyle w:val="st"/>
          <w:rFonts w:asciiTheme="majorHAnsi" w:eastAsia="Calibri" w:hAnsiTheme="majorHAnsi" w:cs="Consolas"/>
          <w:sz w:val="24"/>
          <w:szCs w:val="24"/>
        </w:rPr>
        <w:t>Now, the good</w:t>
      </w:r>
      <w:r>
        <w:rPr>
          <w:rStyle w:val="st"/>
          <w:rFonts w:asciiTheme="majorHAnsi" w:eastAsia="Calibri" w:hAnsiTheme="majorHAnsi" w:cs="Consolas"/>
          <w:sz w:val="24"/>
          <w:szCs w:val="24"/>
        </w:rPr>
        <w:t xml:space="preserve"> news. New home sales picked up in March, reaching an 18-month peak and increasing 4.5% month-over-month. Developers and builders appeared to be slashing prices, as the Census Bureau said</w:t>
      </w:r>
      <w:r>
        <w:rPr>
          <w:rStyle w:val="st"/>
          <w:rFonts w:asciiTheme="majorHAnsi" w:eastAsia="Calibri" w:hAnsiTheme="majorHAnsi" w:cs="Consolas"/>
          <w:sz w:val="24"/>
          <w:szCs w:val="24"/>
        </w:rPr>
        <w:t xml:space="preserve"> that</w:t>
      </w:r>
      <w:r>
        <w:rPr>
          <w:rStyle w:val="st"/>
          <w:rFonts w:asciiTheme="majorHAnsi" w:eastAsia="Calibri" w:hAnsiTheme="majorHAnsi" w:cs="Consolas"/>
          <w:sz w:val="24"/>
          <w:szCs w:val="24"/>
        </w:rPr>
        <w:t xml:space="preserve"> the median new home price fell 9.7% in March to a 2-year low of</w:t>
      </w:r>
      <w:r>
        <w:rPr>
          <w:rStyle w:val="st"/>
          <w:rFonts w:asciiTheme="majorHAnsi" w:eastAsia="Calibri" w:hAnsiTheme="majorHAnsi" w:cs="Consolas"/>
          <w:sz w:val="24"/>
          <w:szCs w:val="24"/>
        </w:rPr>
        <w:t xml:space="preserve"> $302,700.</w:t>
      </w:r>
      <w:r>
        <w:rPr>
          <w:rStyle w:val="st"/>
          <w:rFonts w:asciiTheme="majorHAnsi" w:hAnsiTheme="majorHAnsi"/>
          <w:sz w:val="24"/>
          <w:szCs w:val="24"/>
        </w:rPr>
        <w:t xml:space="preserve"> Additionally, the NAR pending home sales index, a gauge of housing contract activity, rose 3.8% for March after a 1.0% February dip.</w:t>
      </w:r>
      <w:r>
        <w:rPr>
          <w:rStyle w:val="st"/>
          <w:rFonts w:asciiTheme="majorHAnsi" w:hAnsiTheme="majorHAnsi"/>
          <w:sz w:val="24"/>
          <w:szCs w:val="24"/>
          <w:vertAlign w:val="superscript"/>
        </w:rPr>
        <w:t>2,1</w:t>
      </w:r>
      <w:r w:rsidRPr="0018730B">
        <w:rPr>
          <w:rStyle w:val="st"/>
          <w:rFonts w:asciiTheme="majorHAnsi" w:hAnsiTheme="majorHAnsi"/>
          <w:sz w:val="24"/>
          <w:szCs w:val="24"/>
          <w:vertAlign w:val="superscript"/>
        </w:rPr>
        <w:t>1</w:t>
      </w:r>
    </w:p>
    <w:p w:rsidR="00227B2F" w:rsidRPr="00227B2F" w:rsidRDefault="00861533" w:rsidP="0018730B">
      <w:pPr>
        <w:spacing w:line="276" w:lineRule="auto"/>
        <w:jc w:val="both"/>
        <w:rPr>
          <w:rStyle w:val="st"/>
          <w:rFonts w:asciiTheme="majorHAnsi" w:hAnsiTheme="majorHAnsi"/>
          <w:i/>
          <w:sz w:val="18"/>
          <w:szCs w:val="18"/>
        </w:rPr>
      </w:pPr>
      <w:r w:rsidRPr="008F2116">
        <w:rPr>
          <w:rStyle w:val="st"/>
          <w:rFonts w:asciiTheme="majorHAnsi" w:hAnsiTheme="majorHAnsi"/>
          <w:i/>
          <w:sz w:val="18"/>
          <w:szCs w:val="18"/>
        </w:rPr>
        <w:t>[A 30-year</w:t>
      </w:r>
      <w:r>
        <w:rPr>
          <w:rStyle w:val="st"/>
          <w:rFonts w:asciiTheme="majorHAnsi" w:hAnsiTheme="majorHAnsi"/>
          <w:i/>
          <w:sz w:val="18"/>
          <w:szCs w:val="18"/>
        </w:rPr>
        <w:t>,</w:t>
      </w:r>
      <w:r w:rsidRPr="008F2116">
        <w:rPr>
          <w:rStyle w:val="st"/>
          <w:rFonts w:asciiTheme="majorHAnsi" w:hAnsiTheme="majorHAnsi"/>
          <w:i/>
          <w:sz w:val="18"/>
          <w:szCs w:val="18"/>
        </w:rPr>
        <w:t xml:space="preserve"> fixed</w:t>
      </w:r>
      <w:r>
        <w:rPr>
          <w:rStyle w:val="st"/>
          <w:rFonts w:asciiTheme="majorHAnsi" w:hAnsiTheme="majorHAnsi"/>
          <w:i/>
          <w:sz w:val="18"/>
          <w:szCs w:val="18"/>
        </w:rPr>
        <w:t>-</w:t>
      </w:r>
      <w:r w:rsidRPr="008F2116">
        <w:rPr>
          <w:rStyle w:val="st"/>
          <w:rFonts w:asciiTheme="majorHAnsi" w:hAnsiTheme="majorHAnsi"/>
          <w:i/>
          <w:sz w:val="18"/>
          <w:szCs w:val="18"/>
        </w:rPr>
        <w:t>rate mortgage is a conventional home loan of below $484,350 that meets the lending require</w:t>
      </w:r>
      <w:r w:rsidRPr="008F2116">
        <w:rPr>
          <w:rStyle w:val="st"/>
          <w:rFonts w:asciiTheme="majorHAnsi" w:hAnsiTheme="majorHAnsi"/>
          <w:i/>
          <w:sz w:val="18"/>
          <w:szCs w:val="18"/>
        </w:rPr>
        <w:t>ments of Fannie Mae and Freddie Mac, but it is not a mortgage guaranteed or insured by any government agency. Private mortgage insurance, or PMI, is required for any conventional loan with less than a 20% down payment.]</w:t>
      </w:r>
    </w:p>
    <w:p w:rsidR="00E24345" w:rsidRPr="00DD38C0" w:rsidRDefault="00861533" w:rsidP="00EE6BF2">
      <w:pPr>
        <w:spacing w:line="276" w:lineRule="auto"/>
        <w:rPr>
          <w:rStyle w:val="st"/>
          <w:rFonts w:asciiTheme="majorHAnsi" w:hAnsiTheme="majorHAnsi"/>
          <w:sz w:val="4"/>
        </w:rPr>
      </w:pPr>
    </w:p>
    <w:p w:rsidR="006D5A63" w:rsidRDefault="00861533"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D5A63" w:rsidRPr="00DD38C0" w:rsidRDefault="00861533" w:rsidP="00EE6BF2">
      <w:pPr>
        <w:spacing w:line="276" w:lineRule="auto"/>
        <w:jc w:val="center"/>
        <w:rPr>
          <w:rStyle w:val="st"/>
          <w:rFonts w:asciiTheme="majorHAnsi" w:hAnsiTheme="majorHAnsi"/>
          <w:color w:val="E88E0A"/>
          <w:sz w:val="4"/>
        </w:rPr>
      </w:pPr>
    </w:p>
    <w:p w:rsidR="006D5A63" w:rsidRPr="00DD38C0" w:rsidRDefault="00861533" w:rsidP="00EE6BF2">
      <w:pPr>
        <w:spacing w:line="276" w:lineRule="auto"/>
        <w:jc w:val="center"/>
        <w:rPr>
          <w:rStyle w:val="st"/>
          <w:rFonts w:asciiTheme="majorHAnsi" w:hAnsiTheme="majorHAnsi"/>
          <w:color w:val="E88E0A"/>
          <w:sz w:val="4"/>
        </w:rPr>
      </w:pPr>
      <w:r w:rsidRPr="007C2813">
        <w:rPr>
          <w:rStyle w:val="st"/>
          <w:rFonts w:asciiTheme="majorHAnsi" w:hAnsiTheme="majorHAnsi"/>
          <w:color w:val="3E7BB6"/>
        </w:rPr>
        <w:t xml:space="preserve">T I P   O F   T H E   </w:t>
      </w:r>
      <w:r w:rsidRPr="007C2813">
        <w:rPr>
          <w:rStyle w:val="st"/>
          <w:rFonts w:asciiTheme="majorHAnsi" w:hAnsiTheme="majorHAnsi"/>
          <w:color w:val="3E7BB6"/>
        </w:rPr>
        <w:t>M O N T H</w:t>
      </w:r>
      <w:r>
        <w:rPr>
          <w:rStyle w:val="st"/>
          <w:rFonts w:asciiTheme="majorHAnsi" w:hAnsiTheme="majorHAnsi"/>
          <w:color w:val="E88E0A"/>
        </w:rPr>
        <w:br/>
      </w:r>
    </w:p>
    <w:p w:rsidR="006D5A63" w:rsidRDefault="00861533" w:rsidP="00EE6BF2">
      <w:pPr>
        <w:spacing w:line="276" w:lineRule="auto"/>
        <w:jc w:val="center"/>
        <w:rPr>
          <w:rStyle w:val="st"/>
          <w:rFonts w:asciiTheme="majorHAnsi" w:hAnsiTheme="majorHAnsi"/>
        </w:rPr>
      </w:pPr>
      <w:r>
        <w:rPr>
          <w:rFonts w:asciiTheme="majorHAnsi" w:hAnsiTheme="majorHAnsi"/>
          <w:noProof/>
        </w:rPr>
        <w:drawing>
          <wp:inline distT="0" distB="0" distL="0" distR="0">
            <wp:extent cx="995363" cy="7334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4730" cy="740327"/>
                    </a:xfrm>
                    <a:prstGeom prst="rect">
                      <a:avLst/>
                    </a:prstGeom>
                  </pic:spPr>
                </pic:pic>
              </a:graphicData>
            </a:graphic>
          </wp:inline>
        </w:drawing>
      </w:r>
    </w:p>
    <w:p w:rsidR="006D5A63" w:rsidRPr="0047025A" w:rsidRDefault="00861533" w:rsidP="00EE6BF2">
      <w:pPr>
        <w:spacing w:line="276" w:lineRule="auto"/>
        <w:jc w:val="center"/>
        <w:rPr>
          <w:rStyle w:val="st"/>
          <w:rFonts w:asciiTheme="majorHAnsi" w:hAnsiTheme="majorHAnsi"/>
          <w:i/>
          <w:color w:val="002060"/>
          <w:sz w:val="28"/>
        </w:rPr>
      </w:pPr>
      <w:r w:rsidRPr="00DD38C0">
        <w:rPr>
          <w:rStyle w:val="st"/>
          <w:rFonts w:asciiTheme="majorHAnsi" w:hAnsiTheme="majorHAnsi"/>
          <w:sz w:val="6"/>
        </w:rPr>
        <w:br/>
      </w:r>
      <w:r w:rsidRPr="008F2116">
        <w:rPr>
          <w:rStyle w:val="st"/>
          <w:rFonts w:asciiTheme="majorHAnsi" w:hAnsiTheme="majorHAnsi"/>
          <w:i/>
          <w:sz w:val="28"/>
        </w:rPr>
        <w:t xml:space="preserve">After a significant life event, such as a marriage or the birth of a child, it is smart </w:t>
      </w:r>
      <w:r w:rsidRPr="008F2116">
        <w:rPr>
          <w:rStyle w:val="st"/>
          <w:rFonts w:asciiTheme="majorHAnsi" w:hAnsiTheme="majorHAnsi"/>
          <w:i/>
          <w:sz w:val="28"/>
        </w:rPr>
        <w:lastRenderedPageBreak/>
        <w:t>to review your insurance coverage. You may need more (or less) coverage or</w:t>
      </w:r>
      <w:r>
        <w:rPr>
          <w:rStyle w:val="st"/>
          <w:rFonts w:asciiTheme="majorHAnsi" w:hAnsiTheme="majorHAnsi"/>
          <w:i/>
          <w:sz w:val="28"/>
        </w:rPr>
        <w:t xml:space="preserve"> even</w:t>
      </w:r>
      <w:r w:rsidRPr="008F2116">
        <w:rPr>
          <w:rStyle w:val="st"/>
          <w:rFonts w:asciiTheme="majorHAnsi" w:hAnsiTheme="majorHAnsi"/>
          <w:i/>
          <w:sz w:val="28"/>
        </w:rPr>
        <w:t xml:space="preserve"> an extra kind of insurance.</w:t>
      </w:r>
    </w:p>
    <w:p w:rsidR="006D5A63" w:rsidRPr="00DD38C0" w:rsidRDefault="00861533" w:rsidP="00EE6BF2">
      <w:pPr>
        <w:spacing w:line="276" w:lineRule="auto"/>
        <w:jc w:val="center"/>
        <w:rPr>
          <w:rStyle w:val="st"/>
          <w:rFonts w:asciiTheme="majorHAnsi" w:hAnsiTheme="majorHAnsi"/>
          <w:i/>
          <w:color w:val="E88E0A"/>
          <w:sz w:val="4"/>
        </w:rPr>
      </w:pPr>
    </w:p>
    <w:p w:rsidR="00E24345" w:rsidRDefault="00861533"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373CC8" w:rsidRPr="00DD38C0" w:rsidRDefault="00861533" w:rsidP="00EE6BF2">
      <w:pPr>
        <w:spacing w:line="276" w:lineRule="auto"/>
        <w:rPr>
          <w:rFonts w:asciiTheme="majorHAnsi" w:hAnsiTheme="majorHAnsi"/>
          <w:b/>
          <w:color w:val="E88E0A"/>
          <w:spacing w:val="-2"/>
          <w:sz w:val="8"/>
        </w:rPr>
      </w:pPr>
    </w:p>
    <w:p w:rsidR="00775662" w:rsidRPr="007A5A6C" w:rsidRDefault="00861533" w:rsidP="00EE6BF2">
      <w:pPr>
        <w:spacing w:line="276" w:lineRule="auto"/>
        <w:rPr>
          <w:rFonts w:asciiTheme="majorHAnsi" w:hAnsiTheme="majorHAnsi"/>
          <w:b/>
          <w:spacing w:val="-2"/>
          <w:sz w:val="28"/>
        </w:rPr>
      </w:pPr>
      <w:r>
        <w:rPr>
          <w:rFonts w:asciiTheme="majorHAnsi" w:hAnsiTheme="majorHAnsi"/>
          <w:b/>
          <w:color w:val="3E7BB6"/>
          <w:spacing w:val="-2"/>
          <w:sz w:val="28"/>
        </w:rPr>
        <w:t>LOOKING BACK</w:t>
      </w:r>
      <w:r>
        <w:rPr>
          <w:rFonts w:asciiTheme="majorHAnsi" w:hAnsiTheme="majorHAnsi"/>
          <w:b/>
          <w:color w:val="3E7BB6"/>
          <w:spacing w:val="-2"/>
          <w:sz w:val="28"/>
        </w:rPr>
        <w:t>,</w:t>
      </w:r>
      <w:r>
        <w:rPr>
          <w:rFonts w:asciiTheme="majorHAnsi" w:hAnsiTheme="majorHAnsi"/>
          <w:b/>
          <w:color w:val="3E7BB6"/>
          <w:spacing w:val="-2"/>
          <w:sz w:val="28"/>
        </w:rPr>
        <w:t xml:space="preserve"> </w:t>
      </w:r>
      <w:r>
        <w:rPr>
          <w:rFonts w:asciiTheme="majorHAnsi" w:hAnsiTheme="majorHAnsi"/>
          <w:b/>
          <w:color w:val="3E7BB6"/>
          <w:spacing w:val="-2"/>
          <w:sz w:val="28"/>
        </w:rPr>
        <w:t>LOOKING FORWARD</w:t>
      </w:r>
    </w:p>
    <w:p w:rsidR="00775662" w:rsidRPr="00EF31D3" w:rsidRDefault="00861533" w:rsidP="004E5D15">
      <w:pPr>
        <w:spacing w:line="276" w:lineRule="auto"/>
        <w:rPr>
          <w:rStyle w:val="st"/>
          <w:rFonts w:asciiTheme="majorHAnsi" w:hAnsiTheme="majorHAnsi"/>
          <w:sz w:val="24"/>
        </w:rPr>
      </w:pPr>
      <w:r>
        <w:rPr>
          <w:rStyle w:val="st"/>
          <w:rFonts w:asciiTheme="majorHAnsi" w:hAnsiTheme="majorHAnsi"/>
          <w:sz w:val="24"/>
        </w:rPr>
        <w:t xml:space="preserve">The three major </w:t>
      </w:r>
      <w:r>
        <w:rPr>
          <w:rStyle w:val="st"/>
          <w:rFonts w:asciiTheme="majorHAnsi" w:hAnsiTheme="majorHAnsi"/>
          <w:sz w:val="24"/>
        </w:rPr>
        <w:t>U.S. stock benchmarks all advanced nicely in April – in fact, the S&amp;P 500 and Nasdaq Composite both closed at record peaks</w:t>
      </w:r>
      <w:r>
        <w:rPr>
          <w:rStyle w:val="st"/>
          <w:rFonts w:asciiTheme="majorHAnsi" w:hAnsiTheme="majorHAnsi"/>
          <w:sz w:val="24"/>
        </w:rPr>
        <w:t xml:space="preserve"> late</w:t>
      </w:r>
      <w:r>
        <w:rPr>
          <w:rStyle w:val="st"/>
          <w:rFonts w:asciiTheme="majorHAnsi" w:hAnsiTheme="majorHAnsi"/>
          <w:sz w:val="24"/>
        </w:rPr>
        <w:t xml:space="preserve"> last month.</w:t>
      </w:r>
      <w:r>
        <w:rPr>
          <w:rStyle w:val="st"/>
          <w:rFonts w:asciiTheme="majorHAnsi" w:hAnsiTheme="majorHAnsi"/>
          <w:sz w:val="24"/>
        </w:rPr>
        <w:t xml:space="preserve"> </w:t>
      </w:r>
      <w:r>
        <w:rPr>
          <w:rStyle w:val="st"/>
          <w:rFonts w:asciiTheme="majorHAnsi" w:hAnsiTheme="majorHAnsi"/>
          <w:sz w:val="24"/>
        </w:rPr>
        <w:t xml:space="preserve">Nearly 50% of S&amp;P 500 firms had reported Q1 results through the end of April, and </w:t>
      </w:r>
      <w:r>
        <w:rPr>
          <w:rStyle w:val="st"/>
          <w:rFonts w:asciiTheme="majorHAnsi" w:hAnsiTheme="majorHAnsi"/>
          <w:sz w:val="24"/>
        </w:rPr>
        <w:t xml:space="preserve">those collective </w:t>
      </w:r>
      <w:r>
        <w:rPr>
          <w:rStyle w:val="st"/>
          <w:rFonts w:asciiTheme="majorHAnsi" w:hAnsiTheme="majorHAnsi"/>
          <w:sz w:val="24"/>
        </w:rPr>
        <w:t xml:space="preserve">earnings </w:t>
      </w:r>
      <w:r>
        <w:rPr>
          <w:rStyle w:val="st"/>
          <w:rFonts w:asciiTheme="majorHAnsi" w:hAnsiTheme="majorHAnsi"/>
          <w:sz w:val="24"/>
        </w:rPr>
        <w:t xml:space="preserve">results </w:t>
      </w:r>
      <w:r>
        <w:rPr>
          <w:rStyle w:val="st"/>
          <w:rFonts w:asciiTheme="majorHAnsi" w:hAnsiTheme="majorHAnsi"/>
          <w:sz w:val="24"/>
        </w:rPr>
        <w:t>helped</w:t>
      </w:r>
      <w:r>
        <w:rPr>
          <w:rStyle w:val="st"/>
          <w:rFonts w:asciiTheme="majorHAnsi" w:hAnsiTheme="majorHAnsi"/>
          <w:sz w:val="24"/>
        </w:rPr>
        <w:t xml:space="preserve"> all three indices r</w:t>
      </w:r>
      <w:r>
        <w:rPr>
          <w:rStyle w:val="st"/>
          <w:rFonts w:asciiTheme="majorHAnsi" w:hAnsiTheme="majorHAnsi"/>
          <w:sz w:val="24"/>
        </w:rPr>
        <w:t>i</w:t>
      </w:r>
      <w:r>
        <w:rPr>
          <w:rStyle w:val="st"/>
          <w:rFonts w:asciiTheme="majorHAnsi" w:hAnsiTheme="majorHAnsi"/>
          <w:sz w:val="24"/>
        </w:rPr>
        <w:t xml:space="preserve">se 2.5% or more on the month. </w:t>
      </w:r>
      <w:r w:rsidRPr="004E5D15">
        <w:rPr>
          <w:rStyle w:val="st"/>
          <w:rFonts w:asciiTheme="majorHAnsi" w:hAnsiTheme="majorHAnsi"/>
          <w:sz w:val="24"/>
        </w:rPr>
        <w:t xml:space="preserve">The S&amp;P </w:t>
      </w:r>
      <w:r>
        <w:rPr>
          <w:rStyle w:val="st"/>
          <w:rFonts w:asciiTheme="majorHAnsi" w:hAnsiTheme="majorHAnsi"/>
          <w:sz w:val="24"/>
        </w:rPr>
        <w:t>ended April</w:t>
      </w:r>
      <w:r w:rsidRPr="004E5D15">
        <w:rPr>
          <w:rStyle w:val="st"/>
          <w:rFonts w:asciiTheme="majorHAnsi" w:hAnsiTheme="majorHAnsi"/>
          <w:sz w:val="24"/>
        </w:rPr>
        <w:t xml:space="preserve"> </w:t>
      </w:r>
      <w:r>
        <w:rPr>
          <w:rStyle w:val="st"/>
          <w:rFonts w:asciiTheme="majorHAnsi" w:hAnsiTheme="majorHAnsi"/>
          <w:sz w:val="24"/>
        </w:rPr>
        <w:t>at</w:t>
      </w:r>
      <w:r w:rsidRPr="004E5D15">
        <w:rPr>
          <w:rStyle w:val="st"/>
          <w:rFonts w:asciiTheme="majorHAnsi" w:hAnsiTheme="majorHAnsi"/>
          <w:sz w:val="24"/>
        </w:rPr>
        <w:t xml:space="preserve"> 2,945.83</w:t>
      </w:r>
      <w:r>
        <w:rPr>
          <w:rStyle w:val="st"/>
          <w:rFonts w:asciiTheme="majorHAnsi" w:hAnsiTheme="majorHAnsi"/>
          <w:sz w:val="24"/>
        </w:rPr>
        <w:t>;</w:t>
      </w:r>
      <w:r w:rsidRPr="004E5D15">
        <w:rPr>
          <w:rStyle w:val="st"/>
          <w:rFonts w:asciiTheme="majorHAnsi" w:hAnsiTheme="majorHAnsi"/>
          <w:sz w:val="24"/>
        </w:rPr>
        <w:t xml:space="preserve"> </w:t>
      </w:r>
      <w:r>
        <w:rPr>
          <w:rStyle w:val="st"/>
          <w:rFonts w:asciiTheme="majorHAnsi" w:hAnsiTheme="majorHAnsi"/>
          <w:sz w:val="24"/>
        </w:rPr>
        <w:t>the Nasdaq</w:t>
      </w:r>
      <w:r>
        <w:rPr>
          <w:rStyle w:val="st"/>
          <w:rFonts w:asciiTheme="majorHAnsi" w:hAnsiTheme="majorHAnsi"/>
          <w:sz w:val="24"/>
        </w:rPr>
        <w:t>,</w:t>
      </w:r>
      <w:r>
        <w:rPr>
          <w:rStyle w:val="st"/>
          <w:rFonts w:asciiTheme="majorHAnsi" w:hAnsiTheme="majorHAnsi"/>
          <w:sz w:val="24"/>
        </w:rPr>
        <w:t xml:space="preserve"> at 8,107.77</w:t>
      </w:r>
      <w:r>
        <w:rPr>
          <w:rStyle w:val="st"/>
          <w:rFonts w:asciiTheme="majorHAnsi" w:hAnsiTheme="majorHAnsi"/>
          <w:sz w:val="24"/>
        </w:rPr>
        <w:t>;</w:t>
      </w:r>
      <w:r>
        <w:rPr>
          <w:rStyle w:val="st"/>
          <w:rFonts w:asciiTheme="majorHAnsi" w:hAnsiTheme="majorHAnsi"/>
          <w:sz w:val="24"/>
        </w:rPr>
        <w:t xml:space="preserve"> </w:t>
      </w:r>
      <w:r w:rsidRPr="004E5D15">
        <w:rPr>
          <w:rStyle w:val="st"/>
          <w:rFonts w:asciiTheme="majorHAnsi" w:hAnsiTheme="majorHAnsi"/>
          <w:sz w:val="24"/>
        </w:rPr>
        <w:t>the Dow Jones Industrial Average</w:t>
      </w:r>
      <w:r>
        <w:rPr>
          <w:rStyle w:val="st"/>
          <w:rFonts w:asciiTheme="majorHAnsi" w:hAnsiTheme="majorHAnsi"/>
          <w:sz w:val="24"/>
        </w:rPr>
        <w:t>,</w:t>
      </w:r>
      <w:r w:rsidRPr="004E5D15">
        <w:rPr>
          <w:rStyle w:val="st"/>
          <w:rFonts w:asciiTheme="majorHAnsi" w:hAnsiTheme="majorHAnsi"/>
          <w:sz w:val="24"/>
        </w:rPr>
        <w:t xml:space="preserve"> at 26,592.91. </w:t>
      </w:r>
      <w:r>
        <w:rPr>
          <w:rStyle w:val="st"/>
          <w:rFonts w:asciiTheme="majorHAnsi" w:hAnsiTheme="majorHAnsi"/>
          <w:sz w:val="24"/>
        </w:rPr>
        <w:t xml:space="preserve">Beyond those </w:t>
      </w:r>
      <w:r>
        <w:rPr>
          <w:rStyle w:val="st"/>
          <w:rFonts w:asciiTheme="majorHAnsi" w:hAnsiTheme="majorHAnsi"/>
          <w:sz w:val="24"/>
        </w:rPr>
        <w:t>benchmarks</w:t>
      </w:r>
      <w:r>
        <w:rPr>
          <w:rStyle w:val="st"/>
          <w:rFonts w:asciiTheme="majorHAnsi" w:hAnsiTheme="majorHAnsi"/>
          <w:sz w:val="24"/>
        </w:rPr>
        <w:t xml:space="preserve">, </w:t>
      </w:r>
      <w:r w:rsidRPr="004E5D15">
        <w:rPr>
          <w:rStyle w:val="st"/>
          <w:rFonts w:asciiTheme="majorHAnsi" w:hAnsiTheme="majorHAnsi"/>
          <w:sz w:val="24"/>
        </w:rPr>
        <w:t xml:space="preserve">the S&amp;P Smallcap 600 </w:t>
      </w:r>
      <w:r>
        <w:rPr>
          <w:rStyle w:val="st"/>
          <w:rFonts w:asciiTheme="majorHAnsi" w:hAnsiTheme="majorHAnsi"/>
          <w:sz w:val="24"/>
        </w:rPr>
        <w:t>added</w:t>
      </w:r>
      <w:r w:rsidRPr="004E5D15">
        <w:rPr>
          <w:rStyle w:val="st"/>
          <w:rFonts w:asciiTheme="majorHAnsi" w:hAnsiTheme="majorHAnsi"/>
          <w:sz w:val="24"/>
        </w:rPr>
        <w:t xml:space="preserve"> 3.81% to </w:t>
      </w:r>
      <w:r>
        <w:rPr>
          <w:rStyle w:val="st"/>
          <w:rFonts w:asciiTheme="majorHAnsi" w:hAnsiTheme="majorHAnsi"/>
          <w:sz w:val="24"/>
        </w:rPr>
        <w:t xml:space="preserve">finish the month at </w:t>
      </w:r>
      <w:r w:rsidRPr="004E5D15">
        <w:rPr>
          <w:rStyle w:val="st"/>
          <w:rFonts w:asciiTheme="majorHAnsi" w:hAnsiTheme="majorHAnsi"/>
          <w:sz w:val="24"/>
        </w:rPr>
        <w:t>975.06</w:t>
      </w:r>
      <w:r>
        <w:rPr>
          <w:rStyle w:val="st"/>
          <w:rFonts w:asciiTheme="majorHAnsi" w:hAnsiTheme="majorHAnsi"/>
          <w:sz w:val="24"/>
        </w:rPr>
        <w:t>;</w:t>
      </w:r>
      <w:r w:rsidRPr="004E5D15">
        <w:rPr>
          <w:rStyle w:val="st"/>
          <w:rFonts w:asciiTheme="majorHAnsi" w:hAnsiTheme="majorHAnsi"/>
          <w:sz w:val="24"/>
        </w:rPr>
        <w:t xml:space="preserve"> </w:t>
      </w:r>
      <w:r>
        <w:rPr>
          <w:rStyle w:val="st"/>
          <w:rFonts w:asciiTheme="majorHAnsi" w:hAnsiTheme="majorHAnsi"/>
          <w:sz w:val="24"/>
        </w:rPr>
        <w:t>t</w:t>
      </w:r>
      <w:r w:rsidRPr="004E5D15">
        <w:rPr>
          <w:rStyle w:val="st"/>
          <w:rFonts w:asciiTheme="majorHAnsi" w:hAnsiTheme="majorHAnsi"/>
          <w:sz w:val="24"/>
        </w:rPr>
        <w:t>he CBOE volatility</w:t>
      </w:r>
      <w:r>
        <w:rPr>
          <w:rStyle w:val="st"/>
          <w:rFonts w:asciiTheme="majorHAnsi" w:hAnsiTheme="majorHAnsi"/>
          <w:sz w:val="24"/>
        </w:rPr>
        <w:t xml:space="preserve"> index</w:t>
      </w:r>
      <w:r w:rsidRPr="004E5D15">
        <w:rPr>
          <w:rStyle w:val="st"/>
          <w:rFonts w:asciiTheme="majorHAnsi" w:hAnsiTheme="majorHAnsi"/>
          <w:sz w:val="24"/>
        </w:rPr>
        <w:t xml:space="preserve"> </w:t>
      </w:r>
      <w:r>
        <w:rPr>
          <w:rStyle w:val="st"/>
          <w:rFonts w:asciiTheme="majorHAnsi" w:hAnsiTheme="majorHAnsi"/>
          <w:sz w:val="24"/>
        </w:rPr>
        <w:t>lost</w:t>
      </w:r>
      <w:r w:rsidRPr="004E5D15">
        <w:rPr>
          <w:rStyle w:val="st"/>
          <w:rFonts w:asciiTheme="majorHAnsi" w:hAnsiTheme="majorHAnsi"/>
          <w:sz w:val="24"/>
        </w:rPr>
        <w:t xml:space="preserve"> 4.16% </w:t>
      </w:r>
      <w:r>
        <w:rPr>
          <w:rStyle w:val="st"/>
          <w:rFonts w:asciiTheme="majorHAnsi" w:hAnsiTheme="majorHAnsi"/>
          <w:sz w:val="24"/>
        </w:rPr>
        <w:t>in April, settling at</w:t>
      </w:r>
      <w:r w:rsidRPr="004E5D15">
        <w:rPr>
          <w:rStyle w:val="st"/>
          <w:rFonts w:asciiTheme="majorHAnsi" w:hAnsiTheme="majorHAnsi"/>
          <w:sz w:val="24"/>
        </w:rPr>
        <w:t xml:space="preserve"> 13.12</w:t>
      </w:r>
      <w:r>
        <w:rPr>
          <w:rStyle w:val="st"/>
          <w:rFonts w:asciiTheme="majorHAnsi" w:hAnsiTheme="majorHAnsi"/>
          <w:sz w:val="24"/>
        </w:rPr>
        <w:t xml:space="preserve"> </w:t>
      </w:r>
      <w:r>
        <w:rPr>
          <w:rStyle w:val="st"/>
          <w:rFonts w:asciiTheme="majorHAnsi" w:hAnsiTheme="majorHAnsi"/>
          <w:sz w:val="24"/>
        </w:rPr>
        <w:t>at the April 30</w:t>
      </w:r>
      <w:r w:rsidRPr="004E5D15">
        <w:rPr>
          <w:rStyle w:val="st"/>
          <w:rFonts w:asciiTheme="majorHAnsi" w:hAnsiTheme="majorHAnsi"/>
          <w:sz w:val="24"/>
        </w:rPr>
        <w:t xml:space="preserve"> close</w:t>
      </w:r>
      <w:r>
        <w:rPr>
          <w:rStyle w:val="st"/>
          <w:rFonts w:asciiTheme="majorHAnsi" w:hAnsiTheme="majorHAnsi"/>
          <w:sz w:val="24"/>
        </w:rPr>
        <w:t>.</w:t>
      </w:r>
      <w:r w:rsidRPr="004E5D15">
        <w:rPr>
          <w:rStyle w:val="st"/>
          <w:rFonts w:asciiTheme="majorHAnsi" w:hAnsiTheme="majorHAnsi"/>
          <w:sz w:val="24"/>
          <w:vertAlign w:val="superscript"/>
        </w:rPr>
        <w:t>13,14</w:t>
      </w:r>
    </w:p>
    <w:tbl>
      <w:tblPr>
        <w:tblW w:w="4875" w:type="pct"/>
        <w:jc w:val="center"/>
        <w:tblLook w:val="04A0" w:firstRow="1" w:lastRow="0" w:firstColumn="1" w:lastColumn="0" w:noHBand="0" w:noVBand="1"/>
      </w:tblPr>
      <w:tblGrid>
        <w:gridCol w:w="2247"/>
        <w:gridCol w:w="2247"/>
        <w:gridCol w:w="2247"/>
        <w:gridCol w:w="2245"/>
      </w:tblGrid>
      <w:tr w:rsidR="006D094B" w:rsidTr="0020794B">
        <w:trPr>
          <w:trHeight w:val="390"/>
          <w:jc w:val="center"/>
        </w:trPr>
        <w:tc>
          <w:tcPr>
            <w:tcW w:w="1250" w:type="pct"/>
            <w:tcBorders>
              <w:top w:val="nil"/>
              <w:left w:val="nil"/>
              <w:bottom w:val="nil"/>
              <w:right w:val="nil"/>
            </w:tcBorders>
            <w:shd w:val="clear" w:color="auto" w:fill="auto"/>
            <w:vAlign w:val="center"/>
            <w:hideMark/>
          </w:tcPr>
          <w:p w:rsidR="000050A3" w:rsidRPr="006D5A63" w:rsidRDefault="00861533" w:rsidP="0020794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MARKET INDEX</w:t>
            </w:r>
          </w:p>
        </w:tc>
        <w:tc>
          <w:tcPr>
            <w:tcW w:w="1250" w:type="pct"/>
            <w:tcBorders>
              <w:top w:val="nil"/>
              <w:left w:val="nil"/>
              <w:bottom w:val="nil"/>
              <w:right w:val="nil"/>
            </w:tcBorders>
            <w:shd w:val="clear" w:color="auto" w:fill="auto"/>
            <w:vAlign w:val="center"/>
            <w:hideMark/>
          </w:tcPr>
          <w:p w:rsidR="000050A3" w:rsidRPr="006D5A63" w:rsidRDefault="00861533" w:rsidP="0020794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Y-T-D CHANGE</w:t>
            </w:r>
          </w:p>
        </w:tc>
        <w:tc>
          <w:tcPr>
            <w:tcW w:w="1250" w:type="pct"/>
            <w:tcBorders>
              <w:top w:val="nil"/>
              <w:left w:val="nil"/>
              <w:bottom w:val="nil"/>
              <w:right w:val="nil"/>
            </w:tcBorders>
            <w:shd w:val="clear" w:color="auto" w:fill="auto"/>
            <w:vAlign w:val="center"/>
            <w:hideMark/>
          </w:tcPr>
          <w:p w:rsidR="000050A3" w:rsidRPr="006D5A63" w:rsidRDefault="00861533" w:rsidP="0020794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1-MO CHANGE</w:t>
            </w:r>
          </w:p>
        </w:tc>
        <w:tc>
          <w:tcPr>
            <w:tcW w:w="1249" w:type="pct"/>
            <w:tcBorders>
              <w:top w:val="nil"/>
              <w:left w:val="nil"/>
              <w:bottom w:val="nil"/>
              <w:right w:val="nil"/>
            </w:tcBorders>
            <w:shd w:val="clear" w:color="auto" w:fill="auto"/>
            <w:vAlign w:val="center"/>
            <w:hideMark/>
          </w:tcPr>
          <w:p w:rsidR="000050A3" w:rsidRPr="00C2503B" w:rsidRDefault="00861533" w:rsidP="0020794B">
            <w:pPr>
              <w:spacing w:after="0" w:line="276" w:lineRule="auto"/>
              <w:jc w:val="center"/>
              <w:rPr>
                <w:rFonts w:ascii="Calibri Light" w:eastAsia="Times New Roman" w:hAnsi="Calibri Light" w:cs="Times New Roman"/>
                <w:b/>
                <w:bCs/>
                <w:color w:val="F9BC50"/>
                <w:szCs w:val="20"/>
              </w:rPr>
            </w:pPr>
            <w:r w:rsidRPr="00C2503B">
              <w:rPr>
                <w:rFonts w:asciiTheme="majorHAnsi" w:hAnsiTheme="majorHAnsi"/>
                <w:b/>
                <w:color w:val="3E7BB6"/>
                <w:spacing w:val="-2"/>
              </w:rPr>
              <w:t>2</w:t>
            </w:r>
            <w:r w:rsidRPr="00C2503B">
              <w:rPr>
                <w:b/>
                <w:color w:val="3E7BB6"/>
                <w:spacing w:val="-2"/>
              </w:rPr>
              <w:t>018</w:t>
            </w:r>
          </w:p>
        </w:tc>
      </w:tr>
      <w:tr w:rsidR="006D094B" w:rsidTr="0020794B">
        <w:trPr>
          <w:trHeight w:val="390"/>
          <w:jc w:val="center"/>
        </w:trPr>
        <w:tc>
          <w:tcPr>
            <w:tcW w:w="1250"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F5056A" w:rsidRPr="006D5A63" w:rsidRDefault="00861533" w:rsidP="00F5056A">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DJIA</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F5056A" w:rsidRPr="00253458" w:rsidRDefault="00861533" w:rsidP="00F5056A">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+14</w:t>
            </w:r>
            <w:r>
              <w:rPr>
                <w:rFonts w:ascii="Calibri Light" w:eastAsia="Times New Roman" w:hAnsi="Calibri Light" w:cs="Times New Roman"/>
                <w:szCs w:val="20"/>
              </w:rPr>
              <w:t>.00</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F5056A" w:rsidRPr="00253458" w:rsidRDefault="00861533" w:rsidP="00F5056A">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+2.56</w:t>
            </w:r>
          </w:p>
        </w:tc>
        <w:tc>
          <w:tcPr>
            <w:tcW w:w="1249" w:type="pct"/>
            <w:tcBorders>
              <w:top w:val="single" w:sz="4" w:space="0" w:color="A5A5A5"/>
              <w:left w:val="nil"/>
              <w:bottom w:val="single" w:sz="4" w:space="0" w:color="A5A5A5"/>
              <w:right w:val="single" w:sz="4" w:space="0" w:color="A5A5A5"/>
            </w:tcBorders>
            <w:shd w:val="clear" w:color="000000" w:fill="F2F2F2"/>
            <w:vAlign w:val="center"/>
            <w:hideMark/>
          </w:tcPr>
          <w:p w:rsidR="00F5056A" w:rsidRPr="00253458" w:rsidRDefault="00861533" w:rsidP="00F5056A">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-5.63</w:t>
            </w:r>
          </w:p>
        </w:tc>
      </w:tr>
      <w:tr w:rsidR="006D094B" w:rsidTr="0020794B">
        <w:trPr>
          <w:trHeight w:val="390"/>
          <w:jc w:val="center"/>
        </w:trPr>
        <w:tc>
          <w:tcPr>
            <w:tcW w:w="1250" w:type="pct"/>
            <w:tcBorders>
              <w:top w:val="nil"/>
              <w:left w:val="single" w:sz="4" w:space="0" w:color="A5A5A5"/>
              <w:bottom w:val="single" w:sz="4" w:space="0" w:color="A5A5A5"/>
              <w:right w:val="single" w:sz="4" w:space="0" w:color="A5A5A5"/>
            </w:tcBorders>
            <w:shd w:val="clear" w:color="000000" w:fill="F2F2F2"/>
            <w:vAlign w:val="center"/>
            <w:hideMark/>
          </w:tcPr>
          <w:p w:rsidR="00F5056A" w:rsidRPr="006D5A63" w:rsidRDefault="00861533" w:rsidP="00F5056A">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NASDAQ</w:t>
            </w:r>
          </w:p>
        </w:tc>
        <w:tc>
          <w:tcPr>
            <w:tcW w:w="1250" w:type="pct"/>
            <w:tcBorders>
              <w:top w:val="nil"/>
              <w:left w:val="nil"/>
              <w:bottom w:val="single" w:sz="4" w:space="0" w:color="A5A5A5"/>
              <w:right w:val="single" w:sz="4" w:space="0" w:color="A5A5A5"/>
            </w:tcBorders>
            <w:shd w:val="clear" w:color="000000" w:fill="F2F2F2"/>
            <w:vAlign w:val="center"/>
            <w:hideMark/>
          </w:tcPr>
          <w:p w:rsidR="00F5056A" w:rsidRPr="00253458" w:rsidRDefault="00861533" w:rsidP="00F5056A">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+22</w:t>
            </w:r>
            <w:r>
              <w:rPr>
                <w:rFonts w:ascii="Calibri Light" w:eastAsia="Times New Roman" w:hAnsi="Calibri Light" w:cs="Times New Roman"/>
                <w:szCs w:val="20"/>
              </w:rPr>
              <w:t>.</w:t>
            </w:r>
            <w:r>
              <w:rPr>
                <w:rFonts w:ascii="Calibri Light" w:eastAsia="Times New Roman" w:hAnsi="Calibri Light" w:cs="Times New Roman"/>
                <w:szCs w:val="20"/>
              </w:rPr>
              <w:t>19</w:t>
            </w:r>
          </w:p>
        </w:tc>
        <w:tc>
          <w:tcPr>
            <w:tcW w:w="1250" w:type="pct"/>
            <w:tcBorders>
              <w:top w:val="nil"/>
              <w:left w:val="nil"/>
              <w:bottom w:val="single" w:sz="4" w:space="0" w:color="A5A5A5"/>
              <w:right w:val="single" w:sz="4" w:space="0" w:color="A5A5A5"/>
            </w:tcBorders>
            <w:shd w:val="clear" w:color="000000" w:fill="F2F2F2"/>
            <w:vAlign w:val="center"/>
            <w:hideMark/>
          </w:tcPr>
          <w:p w:rsidR="00F5056A" w:rsidRPr="00253458" w:rsidRDefault="00861533" w:rsidP="00F5056A">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+4</w:t>
            </w:r>
            <w:r>
              <w:rPr>
                <w:rFonts w:ascii="Calibri Light" w:eastAsia="Times New Roman" w:hAnsi="Calibri Light" w:cs="Times New Roman"/>
                <w:szCs w:val="20"/>
              </w:rPr>
              <w:t>.</w:t>
            </w:r>
            <w:r>
              <w:rPr>
                <w:rFonts w:ascii="Calibri Light" w:eastAsia="Times New Roman" w:hAnsi="Calibri Light" w:cs="Times New Roman"/>
                <w:szCs w:val="20"/>
              </w:rPr>
              <w:t>9</w:t>
            </w:r>
            <w:r>
              <w:rPr>
                <w:rFonts w:ascii="Calibri Light" w:eastAsia="Times New Roman" w:hAnsi="Calibri Light" w:cs="Times New Roman"/>
                <w:szCs w:val="20"/>
              </w:rPr>
              <w:t>0</w:t>
            </w:r>
          </w:p>
        </w:tc>
        <w:tc>
          <w:tcPr>
            <w:tcW w:w="1249" w:type="pct"/>
            <w:tcBorders>
              <w:top w:val="nil"/>
              <w:left w:val="nil"/>
              <w:bottom w:val="single" w:sz="4" w:space="0" w:color="A5A5A5"/>
              <w:right w:val="single" w:sz="4" w:space="0" w:color="A5A5A5"/>
            </w:tcBorders>
            <w:shd w:val="clear" w:color="000000" w:fill="F2F2F2"/>
            <w:vAlign w:val="center"/>
            <w:hideMark/>
          </w:tcPr>
          <w:p w:rsidR="00F5056A" w:rsidRPr="00253458" w:rsidRDefault="00861533" w:rsidP="00F5056A">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-3.88</w:t>
            </w:r>
          </w:p>
        </w:tc>
      </w:tr>
      <w:tr w:rsidR="006D094B" w:rsidTr="0020794B">
        <w:trPr>
          <w:trHeight w:val="390"/>
          <w:jc w:val="center"/>
        </w:trPr>
        <w:tc>
          <w:tcPr>
            <w:tcW w:w="1250" w:type="pct"/>
            <w:tcBorders>
              <w:top w:val="nil"/>
              <w:left w:val="single" w:sz="4" w:space="0" w:color="A5A5A5"/>
              <w:bottom w:val="single" w:sz="4" w:space="0" w:color="A5A5A5"/>
              <w:right w:val="single" w:sz="4" w:space="0" w:color="A5A5A5"/>
            </w:tcBorders>
            <w:shd w:val="clear" w:color="000000" w:fill="F2F2F2"/>
            <w:vAlign w:val="center"/>
            <w:hideMark/>
          </w:tcPr>
          <w:p w:rsidR="00F5056A" w:rsidRPr="006D5A63" w:rsidRDefault="00861533" w:rsidP="00F5056A">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S&amp;P 500</w:t>
            </w:r>
          </w:p>
        </w:tc>
        <w:tc>
          <w:tcPr>
            <w:tcW w:w="1250" w:type="pct"/>
            <w:tcBorders>
              <w:top w:val="nil"/>
              <w:left w:val="nil"/>
              <w:bottom w:val="single" w:sz="4" w:space="0" w:color="A5A5A5"/>
              <w:right w:val="single" w:sz="4" w:space="0" w:color="A5A5A5"/>
            </w:tcBorders>
            <w:shd w:val="clear" w:color="000000" w:fill="F2F2F2"/>
            <w:vAlign w:val="center"/>
            <w:hideMark/>
          </w:tcPr>
          <w:p w:rsidR="00F5056A" w:rsidRPr="00253458" w:rsidRDefault="00861533" w:rsidP="00F5056A">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+17</w:t>
            </w:r>
            <w:r>
              <w:rPr>
                <w:rFonts w:ascii="Calibri Light" w:eastAsia="Times New Roman" w:hAnsi="Calibri Light" w:cs="Times New Roman"/>
                <w:szCs w:val="20"/>
              </w:rPr>
              <w:t>.</w:t>
            </w:r>
            <w:r>
              <w:rPr>
                <w:rFonts w:ascii="Calibri Light" w:eastAsia="Times New Roman" w:hAnsi="Calibri Light" w:cs="Times New Roman"/>
                <w:szCs w:val="20"/>
              </w:rPr>
              <w:t>51</w:t>
            </w:r>
          </w:p>
        </w:tc>
        <w:tc>
          <w:tcPr>
            <w:tcW w:w="1250" w:type="pct"/>
            <w:tcBorders>
              <w:top w:val="nil"/>
              <w:left w:val="nil"/>
              <w:bottom w:val="single" w:sz="4" w:space="0" w:color="A5A5A5"/>
              <w:right w:val="single" w:sz="4" w:space="0" w:color="A5A5A5"/>
            </w:tcBorders>
            <w:shd w:val="clear" w:color="000000" w:fill="F2F2F2"/>
            <w:vAlign w:val="center"/>
            <w:hideMark/>
          </w:tcPr>
          <w:p w:rsidR="00F5056A" w:rsidRPr="00253458" w:rsidRDefault="00861533" w:rsidP="00F5056A">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+3</w:t>
            </w:r>
            <w:r>
              <w:rPr>
                <w:rFonts w:ascii="Calibri Light" w:eastAsia="Times New Roman" w:hAnsi="Calibri Light" w:cs="Times New Roman"/>
                <w:szCs w:val="20"/>
              </w:rPr>
              <w:t>.</w:t>
            </w:r>
            <w:r>
              <w:rPr>
                <w:rFonts w:ascii="Calibri Light" w:eastAsia="Times New Roman" w:hAnsi="Calibri Light" w:cs="Times New Roman"/>
                <w:szCs w:val="20"/>
              </w:rPr>
              <w:t>93</w:t>
            </w:r>
          </w:p>
        </w:tc>
        <w:tc>
          <w:tcPr>
            <w:tcW w:w="1249" w:type="pct"/>
            <w:tcBorders>
              <w:top w:val="nil"/>
              <w:left w:val="nil"/>
              <w:bottom w:val="single" w:sz="4" w:space="0" w:color="A5A5A5"/>
              <w:right w:val="single" w:sz="4" w:space="0" w:color="A5A5A5"/>
            </w:tcBorders>
            <w:shd w:val="clear" w:color="000000" w:fill="F2F2F2"/>
            <w:vAlign w:val="center"/>
            <w:hideMark/>
          </w:tcPr>
          <w:p w:rsidR="00F5056A" w:rsidRPr="00253458" w:rsidRDefault="00861533" w:rsidP="00F5056A">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-6.24</w:t>
            </w:r>
          </w:p>
        </w:tc>
      </w:tr>
      <w:tr w:rsidR="006D094B" w:rsidTr="0020794B">
        <w:trPr>
          <w:trHeight w:val="390"/>
          <w:jc w:val="center"/>
        </w:trPr>
        <w:tc>
          <w:tcPr>
            <w:tcW w:w="1250" w:type="pct"/>
            <w:tcBorders>
              <w:top w:val="nil"/>
              <w:left w:val="nil"/>
              <w:bottom w:val="nil"/>
              <w:right w:val="nil"/>
            </w:tcBorders>
            <w:shd w:val="clear" w:color="auto" w:fill="auto"/>
            <w:vAlign w:val="center"/>
            <w:hideMark/>
          </w:tcPr>
          <w:p w:rsidR="000050A3" w:rsidRPr="006D5A63" w:rsidRDefault="00861533" w:rsidP="0020794B">
            <w:pPr>
              <w:spacing w:after="0" w:line="276" w:lineRule="auto"/>
              <w:jc w:val="center"/>
              <w:rPr>
                <w:rFonts w:ascii="Calibri Light" w:eastAsia="Times New Roman" w:hAnsi="Calibri Light" w:cs="Times New Roman"/>
                <w:color w:val="000000"/>
                <w:szCs w:val="20"/>
              </w:rPr>
            </w:pPr>
          </w:p>
        </w:tc>
        <w:tc>
          <w:tcPr>
            <w:tcW w:w="1250" w:type="pct"/>
            <w:tcBorders>
              <w:top w:val="nil"/>
              <w:left w:val="nil"/>
              <w:bottom w:val="nil"/>
              <w:right w:val="nil"/>
            </w:tcBorders>
            <w:shd w:val="clear" w:color="auto" w:fill="auto"/>
            <w:vAlign w:val="center"/>
            <w:hideMark/>
          </w:tcPr>
          <w:p w:rsidR="000050A3" w:rsidRPr="006D5A63" w:rsidRDefault="00861533" w:rsidP="0020794B">
            <w:pPr>
              <w:spacing w:after="0" w:line="276" w:lineRule="auto"/>
              <w:jc w:val="center"/>
              <w:rPr>
                <w:rFonts w:ascii="Times New Roman" w:eastAsia="Times New Roman" w:hAnsi="Times New Roman" w:cs="Times New Roman"/>
                <w:szCs w:val="20"/>
              </w:rPr>
            </w:pPr>
          </w:p>
        </w:tc>
        <w:tc>
          <w:tcPr>
            <w:tcW w:w="1250" w:type="pct"/>
            <w:tcBorders>
              <w:top w:val="nil"/>
              <w:left w:val="nil"/>
              <w:bottom w:val="nil"/>
              <w:right w:val="nil"/>
            </w:tcBorders>
            <w:shd w:val="clear" w:color="auto" w:fill="auto"/>
            <w:vAlign w:val="center"/>
            <w:hideMark/>
          </w:tcPr>
          <w:p w:rsidR="000050A3" w:rsidRPr="006D5A63" w:rsidRDefault="00861533" w:rsidP="0020794B">
            <w:pPr>
              <w:spacing w:after="0" w:line="276" w:lineRule="auto"/>
              <w:jc w:val="center"/>
              <w:rPr>
                <w:rFonts w:ascii="Times New Roman" w:eastAsia="Times New Roman" w:hAnsi="Times New Roman" w:cs="Times New Roman"/>
                <w:szCs w:val="20"/>
              </w:rPr>
            </w:pPr>
          </w:p>
        </w:tc>
        <w:tc>
          <w:tcPr>
            <w:tcW w:w="1249" w:type="pct"/>
            <w:tcBorders>
              <w:top w:val="nil"/>
              <w:left w:val="nil"/>
              <w:bottom w:val="nil"/>
              <w:right w:val="nil"/>
            </w:tcBorders>
            <w:shd w:val="clear" w:color="auto" w:fill="auto"/>
            <w:vAlign w:val="center"/>
            <w:hideMark/>
          </w:tcPr>
          <w:p w:rsidR="000050A3" w:rsidRPr="006D5A63" w:rsidRDefault="00861533" w:rsidP="0020794B">
            <w:pPr>
              <w:spacing w:after="0" w:line="276" w:lineRule="auto"/>
              <w:jc w:val="center"/>
              <w:rPr>
                <w:rFonts w:ascii="Times New Roman" w:eastAsia="Times New Roman" w:hAnsi="Times New Roman" w:cs="Times New Roman"/>
                <w:szCs w:val="20"/>
              </w:rPr>
            </w:pPr>
          </w:p>
        </w:tc>
      </w:tr>
      <w:tr w:rsidR="006D094B" w:rsidTr="0020794B">
        <w:trPr>
          <w:trHeight w:val="390"/>
          <w:jc w:val="center"/>
        </w:trPr>
        <w:tc>
          <w:tcPr>
            <w:tcW w:w="1250" w:type="pct"/>
            <w:tcBorders>
              <w:top w:val="nil"/>
              <w:left w:val="nil"/>
              <w:bottom w:val="nil"/>
              <w:right w:val="nil"/>
            </w:tcBorders>
            <w:shd w:val="clear" w:color="auto" w:fill="auto"/>
            <w:vAlign w:val="center"/>
            <w:hideMark/>
          </w:tcPr>
          <w:p w:rsidR="000050A3" w:rsidRPr="006D5A63" w:rsidRDefault="00861533" w:rsidP="0020794B">
            <w:pPr>
              <w:spacing w:after="0" w:line="276" w:lineRule="auto"/>
              <w:jc w:val="center"/>
              <w:rPr>
                <w:rFonts w:ascii="Calibri Light" w:eastAsia="Times New Roman" w:hAnsi="Calibri Light" w:cs="Times New Roman"/>
                <w:b/>
                <w:bCs/>
                <w:color w:val="F9BC50"/>
                <w:szCs w:val="20"/>
              </w:rPr>
            </w:pPr>
            <w:bookmarkStart w:id="1" w:name="_Hlk2838771"/>
            <w:r>
              <w:rPr>
                <w:rFonts w:asciiTheme="majorHAnsi" w:hAnsiTheme="majorHAnsi"/>
                <w:b/>
                <w:color w:val="3E7BB6"/>
                <w:spacing w:val="-2"/>
              </w:rPr>
              <w:t>BOND YIELD</w:t>
            </w:r>
          </w:p>
        </w:tc>
        <w:tc>
          <w:tcPr>
            <w:tcW w:w="1250" w:type="pct"/>
            <w:tcBorders>
              <w:top w:val="nil"/>
              <w:left w:val="nil"/>
              <w:bottom w:val="nil"/>
              <w:right w:val="nil"/>
            </w:tcBorders>
            <w:shd w:val="clear" w:color="auto" w:fill="auto"/>
            <w:vAlign w:val="center"/>
            <w:hideMark/>
          </w:tcPr>
          <w:p w:rsidR="000050A3" w:rsidRPr="006D5A63" w:rsidRDefault="00861533" w:rsidP="0020794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4</w:t>
            </w:r>
            <w:r>
              <w:rPr>
                <w:rFonts w:asciiTheme="majorHAnsi" w:hAnsiTheme="majorHAnsi"/>
                <w:b/>
                <w:color w:val="3E7BB6"/>
                <w:spacing w:val="-2"/>
              </w:rPr>
              <w:t>/</w:t>
            </w:r>
            <w:r>
              <w:rPr>
                <w:rFonts w:asciiTheme="majorHAnsi" w:hAnsiTheme="majorHAnsi"/>
                <w:b/>
                <w:color w:val="3E7BB6"/>
                <w:spacing w:val="-2"/>
              </w:rPr>
              <w:t>3</w:t>
            </w:r>
            <w:r>
              <w:rPr>
                <w:rFonts w:asciiTheme="majorHAnsi" w:hAnsiTheme="majorHAnsi"/>
                <w:b/>
                <w:color w:val="3E7BB6"/>
                <w:spacing w:val="-2"/>
              </w:rPr>
              <w:t>0</w:t>
            </w:r>
            <w:r>
              <w:rPr>
                <w:rFonts w:asciiTheme="majorHAnsi" w:hAnsiTheme="majorHAnsi"/>
                <w:b/>
                <w:color w:val="3E7BB6"/>
                <w:spacing w:val="-2"/>
              </w:rPr>
              <w:t xml:space="preserve"> RATE</w:t>
            </w:r>
          </w:p>
        </w:tc>
        <w:tc>
          <w:tcPr>
            <w:tcW w:w="1250" w:type="pct"/>
            <w:tcBorders>
              <w:top w:val="nil"/>
              <w:left w:val="nil"/>
              <w:bottom w:val="nil"/>
              <w:right w:val="nil"/>
            </w:tcBorders>
            <w:shd w:val="clear" w:color="auto" w:fill="auto"/>
            <w:vAlign w:val="center"/>
            <w:hideMark/>
          </w:tcPr>
          <w:p w:rsidR="000050A3" w:rsidRPr="006D5A63" w:rsidRDefault="00861533" w:rsidP="0020794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 MO AGO</w:t>
            </w:r>
          </w:p>
        </w:tc>
        <w:tc>
          <w:tcPr>
            <w:tcW w:w="1249" w:type="pct"/>
            <w:tcBorders>
              <w:top w:val="nil"/>
              <w:left w:val="nil"/>
              <w:bottom w:val="nil"/>
              <w:right w:val="nil"/>
            </w:tcBorders>
            <w:shd w:val="clear" w:color="auto" w:fill="auto"/>
            <w:vAlign w:val="center"/>
            <w:hideMark/>
          </w:tcPr>
          <w:p w:rsidR="000050A3" w:rsidRPr="006D5A63" w:rsidRDefault="00861533" w:rsidP="0020794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 YR AGO</w:t>
            </w:r>
          </w:p>
        </w:tc>
      </w:tr>
      <w:tr w:rsidR="006D094B" w:rsidTr="0020794B">
        <w:trPr>
          <w:trHeight w:val="390"/>
          <w:jc w:val="center"/>
        </w:trPr>
        <w:tc>
          <w:tcPr>
            <w:tcW w:w="1250"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0050A3" w:rsidRPr="006942AF" w:rsidRDefault="00861533" w:rsidP="0020794B">
            <w:pPr>
              <w:spacing w:after="0" w:line="276" w:lineRule="auto"/>
              <w:jc w:val="center"/>
              <w:rPr>
                <w:rFonts w:ascii="Calibri Light" w:eastAsia="Times New Roman" w:hAnsi="Calibri Light" w:cs="Times New Roman"/>
                <w:szCs w:val="20"/>
              </w:rPr>
            </w:pPr>
            <w:r w:rsidRPr="006942AF">
              <w:rPr>
                <w:rFonts w:ascii="Calibri Light" w:eastAsia="Times New Roman" w:hAnsi="Calibri Light" w:cs="Times New Roman"/>
                <w:szCs w:val="20"/>
              </w:rPr>
              <w:t xml:space="preserve">10 YR </w:t>
            </w:r>
            <w:r>
              <w:rPr>
                <w:rFonts w:ascii="Calibri Light" w:eastAsia="Times New Roman" w:hAnsi="Calibri Light" w:cs="Times New Roman"/>
                <w:szCs w:val="20"/>
              </w:rPr>
              <w:t>TREASURY</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0050A3" w:rsidRPr="006942AF" w:rsidRDefault="00861533" w:rsidP="0020794B">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2.51</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0050A3" w:rsidRPr="006942AF" w:rsidRDefault="00861533" w:rsidP="0020794B">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2</w:t>
            </w:r>
            <w:r>
              <w:rPr>
                <w:rFonts w:ascii="Calibri Light" w:eastAsia="Times New Roman" w:hAnsi="Calibri Light" w:cs="Times New Roman"/>
                <w:szCs w:val="20"/>
              </w:rPr>
              <w:t>.</w:t>
            </w:r>
            <w:r>
              <w:rPr>
                <w:rFonts w:ascii="Calibri Light" w:eastAsia="Times New Roman" w:hAnsi="Calibri Light" w:cs="Times New Roman"/>
                <w:szCs w:val="20"/>
              </w:rPr>
              <w:t>41</w:t>
            </w:r>
          </w:p>
        </w:tc>
        <w:tc>
          <w:tcPr>
            <w:tcW w:w="1249" w:type="pct"/>
            <w:tcBorders>
              <w:top w:val="single" w:sz="4" w:space="0" w:color="A5A5A5"/>
              <w:left w:val="nil"/>
              <w:bottom w:val="single" w:sz="4" w:space="0" w:color="A5A5A5"/>
              <w:right w:val="single" w:sz="4" w:space="0" w:color="A5A5A5"/>
            </w:tcBorders>
            <w:shd w:val="clear" w:color="000000" w:fill="F2F2F2"/>
            <w:vAlign w:val="center"/>
            <w:hideMark/>
          </w:tcPr>
          <w:p w:rsidR="000050A3" w:rsidRPr="006942AF" w:rsidRDefault="00861533" w:rsidP="0020794B">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2</w:t>
            </w:r>
            <w:r>
              <w:rPr>
                <w:rFonts w:ascii="Calibri Light" w:eastAsia="Times New Roman" w:hAnsi="Calibri Light" w:cs="Times New Roman"/>
                <w:szCs w:val="20"/>
              </w:rPr>
              <w:t>.</w:t>
            </w:r>
            <w:r>
              <w:rPr>
                <w:rFonts w:ascii="Calibri Light" w:eastAsia="Times New Roman" w:hAnsi="Calibri Light" w:cs="Times New Roman"/>
                <w:szCs w:val="20"/>
              </w:rPr>
              <w:t>95</w:t>
            </w:r>
          </w:p>
        </w:tc>
      </w:tr>
    </w:tbl>
    <w:p w:rsidR="00775662" w:rsidRPr="002D6595" w:rsidRDefault="00861533" w:rsidP="00EE6BF2">
      <w:pPr>
        <w:spacing w:line="276" w:lineRule="auto"/>
        <w:rPr>
          <w:rStyle w:val="st"/>
          <w:rFonts w:asciiTheme="majorHAnsi" w:hAnsiTheme="majorHAnsi"/>
          <w:color w:val="767171" w:themeColor="background2" w:themeShade="80"/>
          <w:sz w:val="4"/>
        </w:rPr>
      </w:pPr>
      <w:bookmarkStart w:id="2" w:name="_Hlk533682393"/>
    </w:p>
    <w:bookmarkEnd w:id="2"/>
    <w:p w:rsidR="00775662" w:rsidRPr="006942AF" w:rsidRDefault="00861533" w:rsidP="00423B96">
      <w:pPr>
        <w:spacing w:line="276" w:lineRule="auto"/>
        <w:rPr>
          <w:rFonts w:asciiTheme="majorHAnsi" w:hAnsiTheme="majorHAnsi"/>
          <w:color w:val="767171" w:themeColor="background2" w:themeShade="80"/>
          <w:sz w:val="18"/>
          <w:szCs w:val="14"/>
        </w:rPr>
      </w:pPr>
      <w:r w:rsidRPr="006942AF">
        <w:rPr>
          <w:rFonts w:asciiTheme="majorHAnsi" w:hAnsiTheme="majorHAnsi"/>
          <w:color w:val="767171" w:themeColor="background2" w:themeShade="80"/>
          <w:sz w:val="18"/>
          <w:szCs w:val="14"/>
        </w:rPr>
        <w:t xml:space="preserve">Sources: </w:t>
      </w:r>
      <w:r>
        <w:rPr>
          <w:rFonts w:asciiTheme="majorHAnsi" w:hAnsiTheme="majorHAnsi"/>
          <w:color w:val="767171" w:themeColor="background2" w:themeShade="80"/>
          <w:sz w:val="18"/>
          <w:szCs w:val="14"/>
        </w:rPr>
        <w:t>barchart</w:t>
      </w:r>
      <w:r w:rsidRPr="006942AF">
        <w:rPr>
          <w:rFonts w:asciiTheme="majorHAnsi" w:hAnsiTheme="majorHAnsi"/>
          <w:color w:val="767171" w:themeColor="background2" w:themeShade="80"/>
          <w:sz w:val="18"/>
          <w:szCs w:val="14"/>
        </w:rPr>
        <w:t>.com,</w:t>
      </w:r>
      <w:r w:rsidRPr="006942AF">
        <w:rPr>
          <w:rFonts w:asciiTheme="majorHAnsi" w:hAnsiTheme="majorHAnsi"/>
          <w:color w:val="767171" w:themeColor="background2" w:themeShade="80"/>
          <w:sz w:val="18"/>
          <w:szCs w:val="14"/>
        </w:rPr>
        <w:t xml:space="preserve"> </w:t>
      </w:r>
      <w:r>
        <w:rPr>
          <w:rFonts w:asciiTheme="majorHAnsi" w:hAnsiTheme="majorHAnsi"/>
          <w:color w:val="767171" w:themeColor="background2" w:themeShade="80"/>
          <w:sz w:val="18"/>
          <w:szCs w:val="14"/>
        </w:rPr>
        <w:t xml:space="preserve">wsj.com, </w:t>
      </w:r>
      <w:r w:rsidRPr="006942AF">
        <w:rPr>
          <w:rFonts w:asciiTheme="majorHAnsi" w:hAnsiTheme="majorHAnsi"/>
          <w:color w:val="767171" w:themeColor="background2" w:themeShade="80"/>
          <w:sz w:val="18"/>
          <w:szCs w:val="14"/>
        </w:rPr>
        <w:t xml:space="preserve">treasury.gov </w:t>
      </w:r>
      <w:r>
        <w:rPr>
          <w:rFonts w:asciiTheme="majorHAnsi" w:hAnsiTheme="majorHAnsi"/>
          <w:color w:val="767171" w:themeColor="background2" w:themeShade="80"/>
          <w:sz w:val="18"/>
          <w:szCs w:val="14"/>
        </w:rPr>
        <w:t>–</w:t>
      </w:r>
      <w:r w:rsidRPr="006942AF">
        <w:rPr>
          <w:rFonts w:asciiTheme="majorHAnsi" w:hAnsiTheme="majorHAnsi"/>
          <w:color w:val="767171" w:themeColor="background2" w:themeShade="80"/>
          <w:sz w:val="18"/>
          <w:szCs w:val="14"/>
        </w:rPr>
        <w:t xml:space="preserve"> </w:t>
      </w:r>
      <w:r>
        <w:rPr>
          <w:rFonts w:asciiTheme="majorHAnsi" w:hAnsiTheme="majorHAnsi"/>
          <w:color w:val="767171" w:themeColor="background2" w:themeShade="80"/>
          <w:sz w:val="18"/>
          <w:szCs w:val="14"/>
        </w:rPr>
        <w:t>4/30/19</w:t>
      </w:r>
      <w:r w:rsidRPr="000839C8">
        <w:rPr>
          <w:rFonts w:asciiTheme="majorHAnsi" w:hAnsiTheme="majorHAnsi"/>
          <w:color w:val="767171" w:themeColor="background2" w:themeShade="80"/>
          <w:sz w:val="18"/>
          <w:szCs w:val="14"/>
          <w:vertAlign w:val="superscript"/>
        </w:rPr>
        <w:t>14,15,16</w:t>
      </w:r>
    </w:p>
    <w:bookmarkEnd w:id="1"/>
    <w:p w:rsidR="00775662" w:rsidRPr="006942AF" w:rsidRDefault="00861533" w:rsidP="00423B96">
      <w:pPr>
        <w:spacing w:line="276" w:lineRule="auto"/>
        <w:rPr>
          <w:rFonts w:asciiTheme="majorHAnsi" w:hAnsiTheme="majorHAnsi" w:cs="Verdana"/>
          <w:iCs/>
          <w:color w:val="767171" w:themeColor="background2" w:themeShade="80"/>
          <w:spacing w:val="-4"/>
          <w:sz w:val="18"/>
          <w:szCs w:val="14"/>
        </w:rPr>
      </w:pPr>
      <w:r w:rsidRPr="006942AF">
        <w:rPr>
          <w:rFonts w:asciiTheme="majorHAnsi" w:hAnsiTheme="majorHAnsi" w:cs="Verdana"/>
          <w:iCs/>
          <w:color w:val="767171" w:themeColor="background2" w:themeShade="80"/>
          <w:spacing w:val="-4"/>
          <w:sz w:val="18"/>
          <w:szCs w:val="14"/>
        </w:rPr>
        <w:t xml:space="preserve">Indices are unmanaged, do not incur fees or expenses, and cannot be invested into directly. These returns do not include dividends. </w:t>
      </w:r>
      <w:r w:rsidRPr="009C2112">
        <w:rPr>
          <w:rFonts w:asciiTheme="majorHAnsi" w:hAnsiTheme="majorHAnsi" w:cs="Verdana"/>
          <w:iCs/>
          <w:color w:val="767171" w:themeColor="background2" w:themeShade="80"/>
          <w:spacing w:val="-4"/>
          <w:sz w:val="18"/>
          <w:szCs w:val="14"/>
        </w:rPr>
        <w:t>10-year Treasury real yield = projected return on investment, expressed as a percentage, on the U.S. government’s 10-year bo</w:t>
      </w:r>
      <w:r w:rsidRPr="009C2112">
        <w:rPr>
          <w:rFonts w:asciiTheme="majorHAnsi" w:hAnsiTheme="majorHAnsi" w:cs="Verdana"/>
          <w:iCs/>
          <w:color w:val="767171" w:themeColor="background2" w:themeShade="80"/>
          <w:spacing w:val="-4"/>
          <w:sz w:val="18"/>
          <w:szCs w:val="14"/>
        </w:rPr>
        <w:t>nd</w:t>
      </w:r>
      <w:r>
        <w:rPr>
          <w:rFonts w:asciiTheme="majorHAnsi" w:hAnsiTheme="majorHAnsi" w:cs="Verdana"/>
          <w:iCs/>
          <w:color w:val="767171" w:themeColor="background2" w:themeShade="80"/>
          <w:spacing w:val="-4"/>
          <w:sz w:val="18"/>
          <w:szCs w:val="14"/>
        </w:rPr>
        <w:t>.</w:t>
      </w:r>
    </w:p>
    <w:p w:rsidR="002050E2" w:rsidRPr="008D3D97" w:rsidRDefault="00861533" w:rsidP="00EE6BF2">
      <w:pPr>
        <w:spacing w:line="276" w:lineRule="auto"/>
        <w:jc w:val="center"/>
        <w:rPr>
          <w:rFonts w:asciiTheme="majorHAnsi" w:hAnsiTheme="majorHAnsi" w:cs="Verdana"/>
          <w:iCs/>
          <w:spacing w:val="-4"/>
          <w:sz w:val="18"/>
          <w:szCs w:val="14"/>
        </w:rPr>
      </w:pPr>
    </w:p>
    <w:p w:rsidR="00274F6D" w:rsidRPr="003F2BAB" w:rsidRDefault="00861533" w:rsidP="00274F6D">
      <w:pPr>
        <w:spacing w:line="276" w:lineRule="auto"/>
        <w:jc w:val="both"/>
        <w:rPr>
          <w:rFonts w:asciiTheme="majorHAnsi" w:hAnsiTheme="majorHAnsi"/>
          <w:sz w:val="24"/>
        </w:rPr>
      </w:pPr>
      <w:r w:rsidRPr="008F2116">
        <w:rPr>
          <w:rStyle w:val="st"/>
          <w:rFonts w:asciiTheme="majorHAnsi" w:hAnsiTheme="majorHAnsi"/>
          <w:sz w:val="24"/>
        </w:rPr>
        <w:t xml:space="preserve">Wall Street is entering May after enjoying some April tailwinds. The earnings parade is expected to wind down this month, and as May plays out, bulls may turn their attention back to trade matters – or to something else entirely. Will stocks lose </w:t>
      </w:r>
      <w:r w:rsidRPr="008F2116">
        <w:rPr>
          <w:rStyle w:val="st"/>
          <w:rFonts w:asciiTheme="majorHAnsi" w:hAnsiTheme="majorHAnsi"/>
          <w:sz w:val="24"/>
        </w:rPr>
        <w:t>momentum at that point? It is anyone’s guess. Fundamental economic indicators are</w:t>
      </w:r>
      <w:r>
        <w:rPr>
          <w:rStyle w:val="st"/>
          <w:rFonts w:asciiTheme="majorHAnsi" w:hAnsiTheme="majorHAnsi"/>
          <w:sz w:val="24"/>
        </w:rPr>
        <w:t>,</w:t>
      </w:r>
      <w:r w:rsidRPr="008F2116">
        <w:rPr>
          <w:rStyle w:val="st"/>
          <w:rFonts w:asciiTheme="majorHAnsi" w:hAnsiTheme="majorHAnsi"/>
          <w:sz w:val="24"/>
        </w:rPr>
        <w:t xml:space="preserve"> for the most part</w:t>
      </w:r>
      <w:r>
        <w:rPr>
          <w:rStyle w:val="st"/>
          <w:rFonts w:asciiTheme="majorHAnsi" w:hAnsiTheme="majorHAnsi"/>
          <w:sz w:val="24"/>
        </w:rPr>
        <w:t>,</w:t>
      </w:r>
      <w:r w:rsidRPr="008F2116">
        <w:rPr>
          <w:rStyle w:val="st"/>
          <w:rFonts w:asciiTheme="majorHAnsi" w:hAnsiTheme="majorHAnsi"/>
          <w:sz w:val="24"/>
        </w:rPr>
        <w:t xml:space="preserve"> still strong. Key housing indicators aside, measurements of hiring, consumer spending, and business activity are holding steady. Remember that your invest</w:t>
      </w:r>
      <w:r w:rsidRPr="008F2116">
        <w:rPr>
          <w:rStyle w:val="st"/>
          <w:rFonts w:asciiTheme="majorHAnsi" w:hAnsiTheme="majorHAnsi"/>
          <w:sz w:val="24"/>
        </w:rPr>
        <w:t>ing approach reflects your goals, time horizon, and risk tolerance</w:t>
      </w:r>
      <w:r w:rsidRPr="00A12483">
        <w:rPr>
          <w:rStyle w:val="st"/>
          <w:rFonts w:asciiTheme="majorHAnsi" w:hAnsiTheme="majorHAnsi"/>
          <w:sz w:val="24"/>
        </w:rPr>
        <w:t>.</w:t>
      </w:r>
    </w:p>
    <w:p w:rsidR="00552AA9" w:rsidRPr="00DD38C0" w:rsidRDefault="00861533" w:rsidP="00EE6BF2">
      <w:pPr>
        <w:spacing w:line="276" w:lineRule="auto"/>
        <w:rPr>
          <w:rFonts w:asciiTheme="majorHAnsi" w:hAnsiTheme="majorHAnsi"/>
          <w:color w:val="808080"/>
          <w:spacing w:val="-2"/>
          <w:sz w:val="4"/>
        </w:rPr>
      </w:pPr>
    </w:p>
    <w:p w:rsidR="006D5A63" w:rsidRDefault="00861533"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D5A63" w:rsidRPr="00DD38C0" w:rsidRDefault="00861533" w:rsidP="00EE6BF2">
      <w:pPr>
        <w:spacing w:line="276" w:lineRule="auto"/>
        <w:jc w:val="center"/>
        <w:rPr>
          <w:rStyle w:val="st"/>
          <w:rFonts w:asciiTheme="majorHAnsi" w:hAnsiTheme="majorHAnsi"/>
          <w:color w:val="E88E0A"/>
          <w:sz w:val="4"/>
        </w:rPr>
      </w:pPr>
    </w:p>
    <w:p w:rsidR="006D5A63" w:rsidRPr="00CE13AE" w:rsidRDefault="00861533" w:rsidP="00EE6BF2">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Q U O T E   O F   T H E   </w:t>
      </w:r>
      <w:r>
        <w:rPr>
          <w:rStyle w:val="st"/>
          <w:rFonts w:asciiTheme="majorHAnsi" w:hAnsiTheme="majorHAnsi"/>
          <w:color w:val="3E7BB6"/>
        </w:rPr>
        <w:t>M O N T H</w:t>
      </w:r>
    </w:p>
    <w:p w:rsidR="006D5A63" w:rsidRPr="00DD38C0" w:rsidRDefault="00861533" w:rsidP="00EE6BF2">
      <w:pPr>
        <w:spacing w:line="276" w:lineRule="auto"/>
        <w:jc w:val="center"/>
        <w:rPr>
          <w:rStyle w:val="st"/>
          <w:rFonts w:asciiTheme="majorHAnsi" w:hAnsiTheme="majorHAnsi"/>
          <w:sz w:val="4"/>
        </w:rPr>
      </w:pPr>
    </w:p>
    <w:p w:rsidR="006D5A63" w:rsidRDefault="00861533" w:rsidP="00EE6BF2">
      <w:pPr>
        <w:spacing w:line="276" w:lineRule="auto"/>
        <w:jc w:val="center"/>
        <w:rPr>
          <w:rStyle w:val="st"/>
          <w:rFonts w:asciiTheme="majorHAnsi" w:hAnsiTheme="majorHAnsi"/>
        </w:rPr>
      </w:pPr>
      <w:r>
        <w:rPr>
          <w:rFonts w:asciiTheme="majorHAnsi" w:hAnsiTheme="majorHAnsi"/>
          <w:noProof/>
        </w:rPr>
        <w:drawing>
          <wp:inline distT="0" distB="0" distL="0" distR="0">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rsidR="006D5A63" w:rsidRPr="00F5056A" w:rsidRDefault="00861533" w:rsidP="00EE6BF2">
      <w:pPr>
        <w:spacing w:line="276" w:lineRule="auto"/>
        <w:jc w:val="center"/>
        <w:rPr>
          <w:rStyle w:val="st"/>
          <w:rFonts w:asciiTheme="majorHAnsi" w:hAnsiTheme="majorHAnsi"/>
          <w:i/>
          <w:sz w:val="36"/>
        </w:rPr>
      </w:pPr>
      <w:r w:rsidRPr="00F5056A">
        <w:rPr>
          <w:rStyle w:val="st"/>
          <w:rFonts w:asciiTheme="majorHAnsi" w:hAnsiTheme="majorHAnsi"/>
          <w:i/>
          <w:sz w:val="36"/>
        </w:rPr>
        <w:t>“</w:t>
      </w:r>
      <w:r w:rsidRPr="00091201">
        <w:rPr>
          <w:rStyle w:val="st"/>
          <w:rFonts w:asciiTheme="majorHAnsi" w:hAnsiTheme="majorHAnsi"/>
          <w:i/>
          <w:sz w:val="36"/>
        </w:rPr>
        <w:t>Everything you can imagine is real</w:t>
      </w:r>
      <w:r w:rsidRPr="00F5056A">
        <w:rPr>
          <w:rStyle w:val="st"/>
          <w:rFonts w:asciiTheme="majorHAnsi" w:hAnsiTheme="majorHAnsi"/>
          <w:b/>
          <w:i/>
          <w:sz w:val="36"/>
        </w:rPr>
        <w:t>.</w:t>
      </w:r>
      <w:r w:rsidRPr="00F5056A">
        <w:rPr>
          <w:rStyle w:val="st"/>
          <w:rFonts w:asciiTheme="majorHAnsi" w:hAnsiTheme="majorHAnsi"/>
          <w:i/>
          <w:sz w:val="36"/>
        </w:rPr>
        <w:t>”</w:t>
      </w:r>
    </w:p>
    <w:p w:rsidR="006D5A63" w:rsidRPr="00825DF7" w:rsidRDefault="00861533" w:rsidP="00EE6BF2">
      <w:pPr>
        <w:spacing w:line="276" w:lineRule="auto"/>
        <w:jc w:val="center"/>
        <w:rPr>
          <w:rStyle w:val="st"/>
          <w:rFonts w:asciiTheme="majorHAnsi" w:hAnsiTheme="majorHAnsi"/>
          <w:caps/>
          <w:color w:val="3E7BB6"/>
          <w:sz w:val="24"/>
        </w:rPr>
      </w:pPr>
      <w:r>
        <w:rPr>
          <w:rStyle w:val="st"/>
          <w:rFonts w:asciiTheme="majorHAnsi" w:hAnsiTheme="majorHAnsi"/>
          <w:i/>
          <w:caps/>
          <w:color w:val="3E7BB6"/>
        </w:rPr>
        <w:t>PABLO PICASSO</w:t>
      </w:r>
    </w:p>
    <w:p w:rsidR="006D5A63" w:rsidRPr="00DD38C0" w:rsidRDefault="00861533" w:rsidP="00EE6BF2">
      <w:pPr>
        <w:spacing w:line="276" w:lineRule="auto"/>
        <w:jc w:val="center"/>
        <w:rPr>
          <w:rStyle w:val="st"/>
          <w:rFonts w:asciiTheme="majorHAnsi" w:hAnsiTheme="majorHAnsi"/>
          <w:i/>
          <w:color w:val="E88E0A"/>
          <w:sz w:val="4"/>
        </w:rPr>
      </w:pPr>
    </w:p>
    <w:p w:rsidR="00713653" w:rsidRDefault="00861533"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373CC8" w:rsidRPr="00DD38C0" w:rsidRDefault="00861533" w:rsidP="00EE6BF2">
      <w:pPr>
        <w:spacing w:line="276" w:lineRule="auto"/>
        <w:rPr>
          <w:rStyle w:val="st"/>
          <w:rFonts w:asciiTheme="majorHAnsi" w:hAnsiTheme="majorHAnsi"/>
          <w:sz w:val="4"/>
        </w:rPr>
      </w:pPr>
    </w:p>
    <w:p w:rsidR="00775662" w:rsidRPr="004A31CC" w:rsidRDefault="00861533" w:rsidP="00EE6BF2">
      <w:pPr>
        <w:spacing w:line="276" w:lineRule="auto"/>
        <w:rPr>
          <w:rFonts w:asciiTheme="majorHAnsi" w:hAnsiTheme="majorHAnsi"/>
          <w:b/>
          <w:spacing w:val="-2"/>
          <w:sz w:val="28"/>
        </w:rPr>
      </w:pPr>
      <w:r>
        <w:rPr>
          <w:rFonts w:asciiTheme="majorHAnsi" w:hAnsiTheme="majorHAnsi"/>
          <w:b/>
          <w:color w:val="3E7BB6"/>
          <w:spacing w:val="-2"/>
          <w:sz w:val="28"/>
        </w:rPr>
        <w:t>UPCOMING RELEASES</w:t>
      </w:r>
    </w:p>
    <w:p w:rsidR="00775662" w:rsidRPr="0047025A" w:rsidRDefault="00861533" w:rsidP="00EE6BF2">
      <w:pPr>
        <w:spacing w:line="276" w:lineRule="auto"/>
        <w:jc w:val="both"/>
        <w:rPr>
          <w:rFonts w:asciiTheme="majorHAnsi" w:hAnsiTheme="majorHAnsi"/>
          <w:color w:val="002060"/>
          <w:spacing w:val="-2"/>
        </w:rPr>
      </w:pPr>
      <w:r>
        <w:rPr>
          <w:rFonts w:asciiTheme="majorHAnsi" w:hAnsiTheme="majorHAnsi"/>
          <w:spacing w:val="-2"/>
        </w:rPr>
        <w:t>Besides</w:t>
      </w:r>
      <w:r>
        <w:rPr>
          <w:rFonts w:asciiTheme="majorHAnsi" w:hAnsiTheme="majorHAnsi"/>
          <w:spacing w:val="-2"/>
        </w:rPr>
        <w:t xml:space="preserve"> </w:t>
      </w:r>
      <w:r>
        <w:rPr>
          <w:rFonts w:asciiTheme="majorHAnsi" w:hAnsiTheme="majorHAnsi"/>
          <w:spacing w:val="-2"/>
        </w:rPr>
        <w:t xml:space="preserve">more </w:t>
      </w:r>
      <w:r>
        <w:rPr>
          <w:rFonts w:asciiTheme="majorHAnsi" w:hAnsiTheme="majorHAnsi"/>
          <w:spacing w:val="-2"/>
        </w:rPr>
        <w:t>earnings calls, here is what the news stream</w:t>
      </w:r>
      <w:r w:rsidRPr="001F1964">
        <w:rPr>
          <w:rFonts w:asciiTheme="majorHAnsi" w:hAnsiTheme="majorHAnsi"/>
          <w:spacing w:val="-2"/>
        </w:rPr>
        <w:t xml:space="preserve"> </w:t>
      </w:r>
      <w:r>
        <w:rPr>
          <w:rFonts w:asciiTheme="majorHAnsi" w:hAnsiTheme="majorHAnsi"/>
          <w:spacing w:val="-2"/>
        </w:rPr>
        <w:t xml:space="preserve">offers for </w:t>
      </w:r>
      <w:r>
        <w:rPr>
          <w:rFonts w:asciiTheme="majorHAnsi" w:hAnsiTheme="majorHAnsi"/>
          <w:spacing w:val="-2"/>
        </w:rPr>
        <w:t>the rest of May: April’s Producer Price Index (5/9), the April Consumer Price Index</w:t>
      </w:r>
      <w:r w:rsidRPr="001F1964">
        <w:rPr>
          <w:rFonts w:asciiTheme="majorHAnsi" w:hAnsiTheme="majorHAnsi"/>
          <w:spacing w:val="-2"/>
        </w:rPr>
        <w:t xml:space="preserve"> </w:t>
      </w:r>
      <w:r>
        <w:rPr>
          <w:rFonts w:asciiTheme="majorHAnsi" w:hAnsiTheme="majorHAnsi"/>
          <w:spacing w:val="-2"/>
        </w:rPr>
        <w:t>(5/10), a new monthly retail sales report from the Census Bureau (5/15),</w:t>
      </w:r>
      <w:r w:rsidRPr="001F1964">
        <w:rPr>
          <w:rFonts w:asciiTheme="majorHAnsi" w:hAnsiTheme="majorHAnsi"/>
          <w:spacing w:val="-2"/>
        </w:rPr>
        <w:t xml:space="preserve"> </w:t>
      </w:r>
      <w:r>
        <w:rPr>
          <w:rFonts w:asciiTheme="majorHAnsi" w:hAnsiTheme="majorHAnsi"/>
          <w:spacing w:val="-2"/>
        </w:rPr>
        <w:t>April housing starts (5/16), the University of Michigan’s initial May consumer sentiment index (5/1</w:t>
      </w:r>
      <w:r>
        <w:rPr>
          <w:rFonts w:asciiTheme="majorHAnsi" w:hAnsiTheme="majorHAnsi"/>
          <w:spacing w:val="-2"/>
        </w:rPr>
        <w:t>7),</w:t>
      </w:r>
      <w:r w:rsidRPr="001F1964">
        <w:rPr>
          <w:rFonts w:asciiTheme="majorHAnsi" w:hAnsiTheme="majorHAnsi"/>
          <w:spacing w:val="-2"/>
        </w:rPr>
        <w:t xml:space="preserve"> </w:t>
      </w:r>
      <w:r>
        <w:rPr>
          <w:rFonts w:asciiTheme="majorHAnsi" w:hAnsiTheme="majorHAnsi"/>
          <w:spacing w:val="-2"/>
        </w:rPr>
        <w:t xml:space="preserve">the latest existing home sales figures from the NAR (5/21), </w:t>
      </w:r>
      <w:r w:rsidRPr="001F1964">
        <w:rPr>
          <w:rFonts w:asciiTheme="majorHAnsi" w:hAnsiTheme="majorHAnsi"/>
          <w:spacing w:val="-2"/>
        </w:rPr>
        <w:t>A</w:t>
      </w:r>
      <w:r>
        <w:rPr>
          <w:rFonts w:asciiTheme="majorHAnsi" w:hAnsiTheme="majorHAnsi"/>
          <w:spacing w:val="-2"/>
        </w:rPr>
        <w:t xml:space="preserve">pril new home sales (5/23), the May Conference Board consumer confidence index (5/28), April pending home sales and the federal government’s second estimate of Q1 economic growth (5/30), and </w:t>
      </w:r>
      <w:r>
        <w:rPr>
          <w:rFonts w:asciiTheme="majorHAnsi" w:hAnsiTheme="majorHAnsi"/>
          <w:spacing w:val="-2"/>
        </w:rPr>
        <w:t>then</w:t>
      </w:r>
      <w:r>
        <w:rPr>
          <w:rFonts w:asciiTheme="majorHAnsi" w:hAnsiTheme="majorHAnsi"/>
          <w:spacing w:val="-2"/>
        </w:rPr>
        <w:t>,</w:t>
      </w:r>
      <w:r>
        <w:rPr>
          <w:rFonts w:asciiTheme="majorHAnsi" w:hAnsiTheme="majorHAnsi"/>
          <w:spacing w:val="-2"/>
        </w:rPr>
        <w:t xml:space="preserve"> the final May University of Michigan consumer sentiment index and the April personal spending report from the Bureau of Economic Analysis (5/31)</w:t>
      </w:r>
      <w:r w:rsidRPr="00082A8F">
        <w:rPr>
          <w:rFonts w:asciiTheme="majorHAnsi" w:hAnsiTheme="majorHAnsi"/>
          <w:spacing w:val="-2"/>
        </w:rPr>
        <w:t>.</w:t>
      </w:r>
    </w:p>
    <w:p w:rsidR="00775662" w:rsidRDefault="00861533" w:rsidP="00EE6BF2">
      <w:pPr>
        <w:spacing w:line="276" w:lineRule="auto"/>
        <w:jc w:val="both"/>
        <w:rPr>
          <w:rStyle w:val="st"/>
          <w:rFonts w:asciiTheme="majorHAnsi" w:hAnsiTheme="majorHAnsi"/>
        </w:rPr>
      </w:pPr>
    </w:p>
    <w:p w:rsidR="006D5A63" w:rsidRDefault="00861533"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D5A63" w:rsidRPr="00DD38C0" w:rsidRDefault="00861533" w:rsidP="00EE6BF2">
      <w:pPr>
        <w:spacing w:line="276" w:lineRule="auto"/>
        <w:jc w:val="center"/>
        <w:rPr>
          <w:rStyle w:val="st"/>
          <w:rFonts w:asciiTheme="majorHAnsi" w:hAnsiTheme="majorHAnsi"/>
          <w:color w:val="E88E0A"/>
          <w:sz w:val="4"/>
        </w:rPr>
      </w:pPr>
    </w:p>
    <w:p w:rsidR="006D5A63" w:rsidRPr="00CE13AE" w:rsidRDefault="00861533" w:rsidP="00EE6BF2">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T H E  </w:t>
      </w:r>
      <w:r>
        <w:rPr>
          <w:rStyle w:val="st"/>
          <w:rFonts w:asciiTheme="majorHAnsi" w:hAnsiTheme="majorHAnsi"/>
          <w:color w:val="3E7BB6"/>
        </w:rPr>
        <w:t>M O N T H L Y</w:t>
      </w:r>
      <w:r w:rsidRPr="00CE13AE">
        <w:rPr>
          <w:rStyle w:val="st"/>
          <w:rFonts w:asciiTheme="majorHAnsi" w:hAnsiTheme="majorHAnsi"/>
          <w:color w:val="3E7BB6"/>
        </w:rPr>
        <w:t xml:space="preserve">   R I D D L E</w:t>
      </w:r>
    </w:p>
    <w:p w:rsidR="006D5A63" w:rsidRPr="00DD38C0" w:rsidRDefault="00861533" w:rsidP="00EE6BF2">
      <w:pPr>
        <w:spacing w:line="276" w:lineRule="auto"/>
        <w:jc w:val="center"/>
        <w:rPr>
          <w:rStyle w:val="st"/>
          <w:rFonts w:asciiTheme="majorHAnsi" w:hAnsiTheme="majorHAnsi"/>
          <w:sz w:val="4"/>
        </w:rPr>
      </w:pPr>
    </w:p>
    <w:p w:rsidR="006D5A63" w:rsidRDefault="00861533" w:rsidP="00EE6BF2">
      <w:pPr>
        <w:spacing w:line="276" w:lineRule="auto"/>
        <w:jc w:val="center"/>
        <w:rPr>
          <w:rStyle w:val="st"/>
          <w:rFonts w:asciiTheme="majorHAnsi" w:hAnsiTheme="majorHAnsi"/>
        </w:rPr>
      </w:pPr>
      <w:r>
        <w:rPr>
          <w:rFonts w:asciiTheme="majorHAnsi" w:hAnsiTheme="majorHAnsi"/>
          <w:noProof/>
        </w:rPr>
        <w:drawing>
          <wp:inline distT="0" distB="0" distL="0" distR="0">
            <wp:extent cx="776034" cy="955119"/>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9">
                      <a:extLst>
                        <a:ext uri="{28A0092B-C50C-407E-A947-70E740481C1C}">
                          <a14:useLocalDpi xmlns:a14="http://schemas.microsoft.com/office/drawing/2010/main" val="0"/>
                        </a:ext>
                      </a:extLst>
                    </a:blip>
                    <a:stretch>
                      <a:fillRect/>
                    </a:stretch>
                  </pic:blipFill>
                  <pic:spPr>
                    <a:xfrm>
                      <a:off x="0" y="0"/>
                      <a:ext cx="776034" cy="955119"/>
                    </a:xfrm>
                    <a:prstGeom prst="rect">
                      <a:avLst/>
                    </a:prstGeom>
                  </pic:spPr>
                </pic:pic>
              </a:graphicData>
            </a:graphic>
          </wp:inline>
        </w:drawing>
      </w:r>
    </w:p>
    <w:p w:rsidR="006D5A63" w:rsidRPr="002F292D" w:rsidRDefault="00861533" w:rsidP="00A25BED">
      <w:pPr>
        <w:spacing w:line="276" w:lineRule="auto"/>
        <w:jc w:val="center"/>
        <w:rPr>
          <w:rStyle w:val="st"/>
          <w:rFonts w:asciiTheme="majorHAnsi" w:hAnsiTheme="majorHAnsi"/>
          <w:i/>
          <w:sz w:val="36"/>
        </w:rPr>
      </w:pPr>
      <w:bookmarkStart w:id="3" w:name="_Hlk533572087"/>
      <w:r w:rsidRPr="00A25BED">
        <w:rPr>
          <w:rStyle w:val="st"/>
          <w:rFonts w:asciiTheme="majorHAnsi" w:hAnsiTheme="majorHAnsi"/>
          <w:i/>
          <w:sz w:val="36"/>
        </w:rPr>
        <w:t>S</w:t>
      </w:r>
      <w:r>
        <w:rPr>
          <w:rStyle w:val="st"/>
          <w:rFonts w:asciiTheme="majorHAnsi" w:hAnsiTheme="majorHAnsi"/>
          <w:i/>
          <w:sz w:val="36"/>
        </w:rPr>
        <w:t>mall, s</w:t>
      </w:r>
      <w:r w:rsidRPr="00A25BED">
        <w:rPr>
          <w:rStyle w:val="st"/>
          <w:rFonts w:asciiTheme="majorHAnsi" w:hAnsiTheme="majorHAnsi"/>
          <w:i/>
          <w:sz w:val="36"/>
        </w:rPr>
        <w:t>oft</w:t>
      </w:r>
      <w:r>
        <w:rPr>
          <w:rStyle w:val="st"/>
          <w:rFonts w:asciiTheme="majorHAnsi" w:hAnsiTheme="majorHAnsi"/>
          <w:i/>
          <w:sz w:val="36"/>
        </w:rPr>
        <w:t>,</w:t>
      </w:r>
      <w:r w:rsidRPr="00A25BED">
        <w:rPr>
          <w:rStyle w:val="st"/>
          <w:rFonts w:asciiTheme="majorHAnsi" w:hAnsiTheme="majorHAnsi"/>
          <w:i/>
          <w:sz w:val="36"/>
        </w:rPr>
        <w:t xml:space="preserve"> and cuddly, I</w:t>
      </w:r>
      <w:r>
        <w:rPr>
          <w:rStyle w:val="st"/>
          <w:rFonts w:asciiTheme="majorHAnsi" w:hAnsiTheme="majorHAnsi"/>
          <w:i/>
          <w:sz w:val="36"/>
        </w:rPr>
        <w:t>’</w:t>
      </w:r>
      <w:r w:rsidRPr="00A25BED">
        <w:rPr>
          <w:rStyle w:val="st"/>
          <w:rFonts w:asciiTheme="majorHAnsi" w:hAnsiTheme="majorHAnsi"/>
          <w:i/>
          <w:sz w:val="36"/>
        </w:rPr>
        <w:t>ll pull on your heart.</w:t>
      </w:r>
      <w:r>
        <w:rPr>
          <w:rStyle w:val="st"/>
          <w:rFonts w:asciiTheme="majorHAnsi" w:hAnsiTheme="majorHAnsi"/>
          <w:i/>
          <w:sz w:val="36"/>
        </w:rPr>
        <w:t xml:space="preserve"> I share only my last name</w:t>
      </w:r>
      <w:r w:rsidRPr="00A25BED">
        <w:rPr>
          <w:rStyle w:val="st"/>
          <w:rFonts w:asciiTheme="majorHAnsi" w:hAnsiTheme="majorHAnsi"/>
          <w:i/>
          <w:sz w:val="36"/>
        </w:rPr>
        <w:t xml:space="preserve"> </w:t>
      </w:r>
      <w:r>
        <w:rPr>
          <w:rStyle w:val="st"/>
          <w:rFonts w:asciiTheme="majorHAnsi" w:hAnsiTheme="majorHAnsi"/>
          <w:i/>
          <w:sz w:val="36"/>
        </w:rPr>
        <w:t>with a real</w:t>
      </w:r>
      <w:r>
        <w:rPr>
          <w:rStyle w:val="st"/>
          <w:rFonts w:asciiTheme="majorHAnsi" w:hAnsiTheme="majorHAnsi"/>
          <w:i/>
          <w:sz w:val="36"/>
        </w:rPr>
        <w:t>-</w:t>
      </w:r>
      <w:r>
        <w:rPr>
          <w:rStyle w:val="st"/>
          <w:rFonts w:asciiTheme="majorHAnsi" w:hAnsiTheme="majorHAnsi"/>
          <w:i/>
          <w:sz w:val="36"/>
        </w:rPr>
        <w:t xml:space="preserve">live animal who might </w:t>
      </w:r>
      <w:r w:rsidRPr="00A25BED">
        <w:rPr>
          <w:rStyle w:val="st"/>
          <w:rFonts w:asciiTheme="majorHAnsi" w:hAnsiTheme="majorHAnsi"/>
          <w:i/>
          <w:sz w:val="36"/>
        </w:rPr>
        <w:t>tear you apart</w:t>
      </w:r>
      <w:r>
        <w:rPr>
          <w:rStyle w:val="st"/>
          <w:rFonts w:asciiTheme="majorHAnsi" w:hAnsiTheme="majorHAnsi"/>
          <w:i/>
          <w:sz w:val="36"/>
        </w:rPr>
        <w:t>. What am I</w:t>
      </w:r>
      <w:r w:rsidRPr="002F292D">
        <w:rPr>
          <w:rStyle w:val="st"/>
          <w:rFonts w:asciiTheme="majorHAnsi" w:hAnsiTheme="majorHAnsi"/>
          <w:i/>
          <w:sz w:val="36"/>
        </w:rPr>
        <w:t>?</w:t>
      </w:r>
    </w:p>
    <w:bookmarkEnd w:id="3"/>
    <w:p w:rsidR="00237981" w:rsidRPr="00DD38C0" w:rsidRDefault="00861533" w:rsidP="00EE6BF2">
      <w:pPr>
        <w:spacing w:line="276" w:lineRule="auto"/>
        <w:jc w:val="center"/>
        <w:rPr>
          <w:rStyle w:val="st"/>
          <w:rFonts w:asciiTheme="majorHAnsi" w:hAnsiTheme="majorHAnsi"/>
          <w:i/>
          <w:color w:val="A6A6A6" w:themeColor="background1" w:themeShade="A6"/>
          <w:sz w:val="4"/>
        </w:rPr>
      </w:pPr>
    </w:p>
    <w:p w:rsidR="00237981" w:rsidRPr="00DD38C0" w:rsidRDefault="00861533" w:rsidP="00EE6BF2">
      <w:pPr>
        <w:spacing w:line="276" w:lineRule="auto"/>
        <w:jc w:val="center"/>
        <w:rPr>
          <w:rStyle w:val="st"/>
          <w:rFonts w:asciiTheme="majorHAnsi" w:hAnsiTheme="majorHAnsi"/>
          <w:i/>
          <w:color w:val="646464"/>
        </w:rPr>
      </w:pPr>
      <w:r w:rsidRPr="00DD38C0">
        <w:rPr>
          <w:rStyle w:val="st"/>
          <w:rFonts w:asciiTheme="majorHAnsi" w:hAnsiTheme="majorHAnsi"/>
          <w:i/>
          <w:color w:val="646464"/>
        </w:rPr>
        <w:t xml:space="preserve">LAST </w:t>
      </w:r>
      <w:r>
        <w:rPr>
          <w:rStyle w:val="st"/>
          <w:rFonts w:asciiTheme="majorHAnsi" w:hAnsiTheme="majorHAnsi"/>
          <w:i/>
          <w:color w:val="646464"/>
        </w:rPr>
        <w:t>MONTH</w:t>
      </w:r>
      <w:r w:rsidRPr="00DD38C0">
        <w:rPr>
          <w:rStyle w:val="st"/>
          <w:rFonts w:asciiTheme="majorHAnsi" w:hAnsiTheme="majorHAnsi"/>
          <w:i/>
          <w:color w:val="646464"/>
        </w:rPr>
        <w:t xml:space="preserve">’S RIDDLE: </w:t>
      </w:r>
      <w:r w:rsidRPr="00E53B61">
        <w:rPr>
          <w:rStyle w:val="st"/>
          <w:rFonts w:asciiTheme="majorHAnsi" w:hAnsiTheme="majorHAnsi"/>
          <w:i/>
          <w:color w:val="646464"/>
        </w:rPr>
        <w:t>It is filled with garb, and the price is free; you can take whatever you like, and return what you don't need. What is it</w:t>
      </w:r>
      <w:r w:rsidRPr="001F3044">
        <w:rPr>
          <w:rStyle w:val="st"/>
          <w:rFonts w:asciiTheme="majorHAnsi" w:hAnsiTheme="majorHAnsi"/>
          <w:i/>
          <w:color w:val="646464"/>
        </w:rPr>
        <w:t>?</w:t>
      </w:r>
    </w:p>
    <w:p w:rsidR="00237981" w:rsidRPr="00DD38C0" w:rsidRDefault="00861533" w:rsidP="00EE6BF2">
      <w:pPr>
        <w:spacing w:line="276" w:lineRule="auto"/>
        <w:jc w:val="center"/>
        <w:rPr>
          <w:rStyle w:val="st"/>
          <w:rFonts w:asciiTheme="majorHAnsi" w:hAnsiTheme="majorHAnsi"/>
          <w:i/>
          <w:color w:val="646464"/>
        </w:rPr>
      </w:pPr>
      <w:r>
        <w:rPr>
          <w:rStyle w:val="st"/>
          <w:rFonts w:asciiTheme="majorHAnsi" w:hAnsiTheme="majorHAnsi"/>
          <w:i/>
          <w:color w:val="646464"/>
        </w:rPr>
        <w:t>ANSWER:</w:t>
      </w:r>
      <w:r>
        <w:rPr>
          <w:rStyle w:val="st"/>
          <w:rFonts w:asciiTheme="majorHAnsi" w:hAnsiTheme="majorHAnsi"/>
          <w:i/>
          <w:color w:val="646464"/>
        </w:rPr>
        <w:t xml:space="preserve"> </w:t>
      </w:r>
      <w:bookmarkEnd w:id="0"/>
      <w:r>
        <w:rPr>
          <w:rStyle w:val="st"/>
          <w:rFonts w:asciiTheme="majorHAnsi" w:hAnsiTheme="majorHAnsi"/>
          <w:i/>
          <w:color w:val="646464"/>
        </w:rPr>
        <w:t>A closet</w:t>
      </w:r>
      <w:r w:rsidRPr="0006123D">
        <w:rPr>
          <w:rStyle w:val="st"/>
          <w:rFonts w:asciiTheme="majorHAnsi" w:hAnsiTheme="majorHAnsi"/>
          <w:i/>
          <w:color w:val="646464"/>
        </w:rPr>
        <w:t>.</w:t>
      </w:r>
    </w:p>
    <w:p w:rsidR="00237981" w:rsidRPr="00DD38C0" w:rsidRDefault="00861533" w:rsidP="00EE6BF2">
      <w:pPr>
        <w:spacing w:line="276" w:lineRule="auto"/>
        <w:jc w:val="center"/>
        <w:rPr>
          <w:rStyle w:val="st"/>
          <w:rFonts w:asciiTheme="majorHAnsi" w:hAnsiTheme="majorHAnsi"/>
          <w:i/>
          <w:color w:val="A6A6A6" w:themeColor="background1" w:themeShade="A6"/>
          <w:sz w:val="4"/>
        </w:rPr>
      </w:pPr>
    </w:p>
    <w:p w:rsidR="00237981" w:rsidRDefault="00861533" w:rsidP="00EE6BF2">
      <w:pPr>
        <w:spacing w:line="276" w:lineRule="auto"/>
        <w:jc w:val="center"/>
        <w:rPr>
          <w:rStyle w:val="st"/>
          <w:rFonts w:asciiTheme="majorHAnsi" w:hAnsiTheme="majorHAnsi"/>
          <w:i/>
          <w:color w:val="A6A6A6" w:themeColor="background1" w:themeShade="A6"/>
        </w:rPr>
      </w:pPr>
      <w:r w:rsidRPr="004A2938">
        <w:rPr>
          <w:rFonts w:asciiTheme="majorHAnsi" w:hAnsiTheme="majorHAnsi"/>
          <w:noProof/>
          <w:sz w:val="10"/>
        </w:rPr>
        <w:lastRenderedPageBreak/>
        <w:drawing>
          <wp:inline distT="0" distB="0" distL="0" distR="0">
            <wp:extent cx="5825083" cy="268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E3EBF" w:rsidRPr="00425944" w:rsidRDefault="00861533" w:rsidP="00EE6BF2">
      <w:pPr>
        <w:spacing w:line="276" w:lineRule="auto"/>
        <w:jc w:val="center"/>
        <w:rPr>
          <w:rFonts w:asciiTheme="majorHAnsi" w:hAnsiTheme="majorHAnsi" w:cs="Times New Roman"/>
          <w:sz w:val="2"/>
          <w:szCs w:val="32"/>
        </w:rPr>
      </w:pPr>
    </w:p>
    <w:p w:rsidR="00237981" w:rsidRPr="00DD38C0" w:rsidRDefault="00861533" w:rsidP="00EE6BF2">
      <w:pPr>
        <w:spacing w:line="276" w:lineRule="auto"/>
        <w:jc w:val="center"/>
        <w:rPr>
          <w:rFonts w:asciiTheme="majorHAnsi" w:hAnsiTheme="majorHAnsi" w:cs="Times New Roman"/>
          <w:sz w:val="6"/>
          <w:szCs w:val="32"/>
        </w:rPr>
      </w:pPr>
      <w:r w:rsidRPr="006E3EBF">
        <w:rPr>
          <w:rFonts w:asciiTheme="majorHAnsi" w:hAnsiTheme="majorHAnsi" w:cs="Times New Roman"/>
          <w:b/>
          <w:sz w:val="24"/>
          <w:szCs w:val="32"/>
        </w:rPr>
        <w:t xml:space="preserve">Know someone who could use information like this? </w:t>
      </w:r>
      <w:r>
        <w:rPr>
          <w:rFonts w:asciiTheme="majorHAnsi" w:hAnsiTheme="majorHAnsi" w:cs="Times New Roman"/>
          <w:b/>
          <w:sz w:val="24"/>
          <w:szCs w:val="32"/>
        </w:rPr>
        <w:br/>
      </w:r>
      <w:r>
        <w:rPr>
          <w:rFonts w:asciiTheme="majorHAnsi" w:hAnsiTheme="majorHAnsi" w:cs="Times New Roman"/>
          <w:sz w:val="24"/>
          <w:szCs w:val="32"/>
        </w:rPr>
        <w:t>Please feel free</w:t>
      </w:r>
      <w:r>
        <w:rPr>
          <w:rFonts w:asciiTheme="majorHAnsi" w:hAnsiTheme="majorHAnsi" w:cs="Times New Roman"/>
          <w:sz w:val="24"/>
          <w:szCs w:val="32"/>
        </w:rPr>
        <w:t xml:space="preserve"> to</w:t>
      </w:r>
      <w:r>
        <w:rPr>
          <w:rFonts w:asciiTheme="majorHAnsi" w:hAnsiTheme="majorHAnsi" w:cs="Times New Roman"/>
          <w:sz w:val="24"/>
          <w:szCs w:val="32"/>
        </w:rPr>
        <w:t xml:space="preserve"> send us their contact information via phone or email. (Don’t worry – we’ll request their permission before</w:t>
      </w:r>
      <w:r>
        <w:rPr>
          <w:rFonts w:asciiTheme="majorHAnsi" w:hAnsiTheme="majorHAnsi" w:cs="Times New Roman"/>
          <w:sz w:val="24"/>
          <w:szCs w:val="32"/>
        </w:rPr>
        <w:t xml:space="preserve"> adding them to our mailing list.)</w:t>
      </w:r>
    </w:p>
    <w:p w:rsidR="00237981" w:rsidRDefault="00861533" w:rsidP="00EE6BF2">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drawing>
          <wp:inline distT="0" distB="0" distL="0" distR="0">
            <wp:extent cx="5825083" cy="268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EA0505" w:rsidRPr="00DD38C0" w:rsidRDefault="00861533" w:rsidP="00EE6BF2">
      <w:pPr>
        <w:spacing w:line="276" w:lineRule="auto"/>
        <w:jc w:val="both"/>
        <w:rPr>
          <w:rFonts w:asciiTheme="majorHAnsi" w:hAnsiTheme="majorHAnsi"/>
          <w:color w:val="646464"/>
          <w:sz w:val="2"/>
          <w:szCs w:val="16"/>
        </w:rPr>
      </w:pPr>
    </w:p>
    <w:p w:rsidR="00861533" w:rsidRPr="00861533" w:rsidRDefault="00861533" w:rsidP="00861533">
      <w:pPr>
        <w:pStyle w:val="BasicParagraph"/>
        <w:suppressAutoHyphens/>
        <w:spacing w:line="240" w:lineRule="auto"/>
        <w:rPr>
          <w:rFonts w:asciiTheme="majorHAnsi" w:hAnsiTheme="majorHAnsi" w:cstheme="majorHAnsi"/>
          <w:sz w:val="20"/>
          <w:szCs w:val="20"/>
        </w:rPr>
      </w:pPr>
      <w:bookmarkStart w:id="4" w:name="_GoBack"/>
      <w:r w:rsidRPr="00861533">
        <w:rPr>
          <w:rFonts w:asciiTheme="majorHAnsi" w:hAnsiTheme="majorHAnsi" w:cstheme="majorHAnsi"/>
          <w:sz w:val="20"/>
          <w:szCs w:val="20"/>
        </w:rPr>
        <w:t xml:space="preserve">Chris Hass, Jeff Caufield and Chad Perkins offer securities through Parkland Securities, LLC. Member FINRA/SIPC. Investment advisory representatives offer investment advisory services through Sigma Planning Corporation, a registered investment advisor. </w:t>
      </w:r>
      <w:proofErr w:type="spellStart"/>
      <w:r w:rsidRPr="00861533">
        <w:rPr>
          <w:rFonts w:asciiTheme="majorHAnsi" w:hAnsiTheme="majorHAnsi" w:cstheme="majorHAnsi"/>
          <w:sz w:val="20"/>
          <w:szCs w:val="20"/>
        </w:rPr>
        <w:t>Corvus</w:t>
      </w:r>
      <w:proofErr w:type="spellEnd"/>
      <w:r w:rsidRPr="00861533">
        <w:rPr>
          <w:rFonts w:asciiTheme="majorHAnsi" w:hAnsiTheme="majorHAnsi" w:cstheme="majorHAnsi"/>
          <w:sz w:val="20"/>
          <w:szCs w:val="20"/>
        </w:rPr>
        <w:t xml:space="preserve"> Capital, LLC is an independently owned company located at 2950 Breckenridge Lane, Suite 6, Louisville, KY 40220. Phone (502) 451-6363; Fax (502) 451-6364</w:t>
      </w:r>
    </w:p>
    <w:bookmarkEnd w:id="4"/>
    <w:p w:rsidR="00861533" w:rsidRDefault="00861533" w:rsidP="00EE6BF2">
      <w:pPr>
        <w:widowControl w:val="0"/>
        <w:autoSpaceDE w:val="0"/>
        <w:autoSpaceDN w:val="0"/>
        <w:adjustRightInd w:val="0"/>
        <w:spacing w:line="276" w:lineRule="auto"/>
        <w:jc w:val="both"/>
        <w:rPr>
          <w:rFonts w:asciiTheme="majorHAnsi" w:hAnsiTheme="majorHAnsi"/>
          <w:color w:val="646464"/>
          <w:sz w:val="16"/>
          <w:szCs w:val="16"/>
        </w:rPr>
      </w:pPr>
    </w:p>
    <w:p w:rsidR="00237981" w:rsidRPr="00DD38C0" w:rsidRDefault="00861533" w:rsidP="00EE6BF2">
      <w:pPr>
        <w:widowControl w:val="0"/>
        <w:autoSpaceDE w:val="0"/>
        <w:autoSpaceDN w:val="0"/>
        <w:adjustRightInd w:val="0"/>
        <w:spacing w:line="276" w:lineRule="auto"/>
        <w:jc w:val="both"/>
        <w:rPr>
          <w:rFonts w:asciiTheme="majorHAnsi" w:hAnsiTheme="majorHAnsi"/>
          <w:color w:val="646464"/>
          <w:sz w:val="16"/>
          <w:szCs w:val="16"/>
        </w:rPr>
      </w:pPr>
      <w:r w:rsidRPr="00DD38C0">
        <w:rPr>
          <w:rFonts w:asciiTheme="majorHAnsi" w:hAnsiTheme="majorHAnsi" w:cs="Arial"/>
          <w:color w:val="646464"/>
          <w:sz w:val="16"/>
          <w:szCs w:val="16"/>
        </w:rPr>
        <w:t>This material was prepared by MarketingPro, Inc., and does not necessarily represent the views of the presenting party, nor their affiliates. The information herein has been derived from sources believed to be accurate. Please note - investing involves ris</w:t>
      </w:r>
      <w:r w:rsidRPr="00DD38C0">
        <w:rPr>
          <w:rFonts w:asciiTheme="majorHAnsi" w:hAnsiTheme="majorHAnsi" w:cs="Arial"/>
          <w:color w:val="646464"/>
          <w:sz w:val="16"/>
          <w:szCs w:val="16"/>
        </w:rPr>
        <w:t>k, and past performance is no guarantee of future results. Investments will fluctuate and when redeemed may be worth more or less than when originally invested. This information should not be construed as investment, tax or legal advice and may not be reli</w:t>
      </w:r>
      <w:r w:rsidRPr="00DD38C0">
        <w:rPr>
          <w:rFonts w:asciiTheme="majorHAnsi" w:hAnsiTheme="majorHAnsi" w:cs="Arial"/>
          <w:color w:val="646464"/>
          <w:sz w:val="16"/>
          <w:szCs w:val="16"/>
        </w:rPr>
        <w:t xml:space="preserve">ed on for the purpose of avoiding any Federal tax penalty. This is neither a solicitation nor recommendation to purchase or sell any investment or insurance product or service, and should not be relied upon as such. </w:t>
      </w:r>
      <w:r w:rsidRPr="00C64077">
        <w:rPr>
          <w:rFonts w:asciiTheme="majorHAnsi" w:hAnsiTheme="majorHAnsi" w:cs="Arial"/>
          <w:color w:val="646464"/>
          <w:sz w:val="16"/>
          <w:szCs w:val="16"/>
        </w:rPr>
        <w:t>All market indices discussed are unmanag</w:t>
      </w:r>
      <w:r w:rsidRPr="00C64077">
        <w:rPr>
          <w:rFonts w:asciiTheme="majorHAnsi" w:hAnsiTheme="majorHAnsi" w:cs="Arial"/>
          <w:color w:val="646464"/>
          <w:sz w:val="16"/>
          <w:szCs w:val="16"/>
        </w:rPr>
        <w:t xml:space="preserve">ed and are not illustrative of any particular investment. Indices do not incur management fees, costs, or expenses. Investors cannot invest directly </w:t>
      </w:r>
      <w:r w:rsidRPr="004E5D15">
        <w:rPr>
          <w:rFonts w:asciiTheme="majorHAnsi" w:hAnsiTheme="majorHAnsi" w:cs="Arial"/>
          <w:color w:val="767171" w:themeColor="background2" w:themeShade="80"/>
          <w:sz w:val="16"/>
          <w:szCs w:val="16"/>
        </w:rPr>
        <w:t>in indices.</w:t>
      </w:r>
      <w:r w:rsidRPr="004E5D15">
        <w:rPr>
          <w:rFonts w:asciiTheme="majorHAnsi" w:hAnsiTheme="majorHAnsi" w:cs="Arial"/>
          <w:color w:val="767171" w:themeColor="background2" w:themeShade="80"/>
          <w:sz w:val="16"/>
          <w:szCs w:val="16"/>
        </w:rPr>
        <w:t xml:space="preserve"> All economic and performance data is historical and not indicative of future results.</w:t>
      </w:r>
      <w:r w:rsidRPr="004E5D15">
        <w:rPr>
          <w:rFonts w:asciiTheme="majorHAnsi" w:hAnsiTheme="majorHAnsi"/>
          <w:color w:val="767171" w:themeColor="background2" w:themeShade="80"/>
          <w:sz w:val="16"/>
          <w:szCs w:val="16"/>
        </w:rPr>
        <w:t xml:space="preserve"> The Dow J</w:t>
      </w:r>
      <w:r w:rsidRPr="004E5D15">
        <w:rPr>
          <w:rFonts w:asciiTheme="majorHAnsi" w:hAnsiTheme="majorHAnsi"/>
          <w:color w:val="767171" w:themeColor="background2" w:themeShade="80"/>
          <w:sz w:val="16"/>
          <w:szCs w:val="16"/>
        </w:rPr>
        <w:t>ones Industrial Average is a price-weighted index of 30 actively traded blue-chip stocks. The NASDAQ Composite Index is a market-weighted index of all over-the-counter common stocks traded on the National Association of Securities Dealers Automated Quotati</w:t>
      </w:r>
      <w:r w:rsidRPr="004E5D15">
        <w:rPr>
          <w:rFonts w:asciiTheme="majorHAnsi" w:hAnsiTheme="majorHAnsi"/>
          <w:color w:val="767171" w:themeColor="background2" w:themeShade="80"/>
          <w:sz w:val="16"/>
          <w:szCs w:val="16"/>
        </w:rPr>
        <w:t>on System. The Standard &amp; Poor's 500 (S&amp;P 500)</w:t>
      </w:r>
      <w:r w:rsidRPr="004E5D15">
        <w:rPr>
          <w:rFonts w:asciiTheme="majorHAnsi" w:hAnsiTheme="majorHAnsi"/>
          <w:iCs/>
          <w:color w:val="767171" w:themeColor="background2" w:themeShade="80"/>
          <w:sz w:val="16"/>
          <w:szCs w:val="16"/>
        </w:rPr>
        <w:t xml:space="preserve"> is a market-cap weighted index composed of the common stocks of 500 leading companies in leading industries of the U.S. economy</w:t>
      </w:r>
      <w:r w:rsidRPr="004E5D15">
        <w:rPr>
          <w:rFonts w:asciiTheme="majorHAnsi" w:hAnsiTheme="majorHAnsi"/>
          <w:color w:val="767171" w:themeColor="background2" w:themeShade="80"/>
          <w:sz w:val="16"/>
          <w:szCs w:val="16"/>
        </w:rPr>
        <w:t xml:space="preserve">. </w:t>
      </w:r>
      <w:r w:rsidRPr="004E5D15">
        <w:rPr>
          <w:rFonts w:asciiTheme="majorHAnsi" w:hAnsiTheme="majorHAnsi"/>
          <w:color w:val="767171" w:themeColor="background2" w:themeShade="80"/>
          <w:sz w:val="16"/>
          <w:szCs w:val="16"/>
        </w:rPr>
        <w:t>The S&amp;P SmallCap 600 Index is a stock market index established by Standard &amp; Poo</w:t>
      </w:r>
      <w:r w:rsidRPr="004E5D15">
        <w:rPr>
          <w:rFonts w:asciiTheme="majorHAnsi" w:hAnsiTheme="majorHAnsi"/>
          <w:color w:val="767171" w:themeColor="background2" w:themeShade="80"/>
          <w:sz w:val="16"/>
          <w:szCs w:val="16"/>
        </w:rPr>
        <w:t>r’s. It covers roughly the small-cap range of US stocks, using a capitalization-weighted index</w:t>
      </w:r>
      <w:r w:rsidRPr="004E5D15">
        <w:rPr>
          <w:rFonts w:asciiTheme="majorHAnsi" w:hAnsiTheme="majorHAnsi"/>
          <w:color w:val="767171" w:themeColor="background2" w:themeShade="80"/>
          <w:sz w:val="16"/>
          <w:szCs w:val="16"/>
        </w:rPr>
        <w:t>. The CBOE Volatility Index</w:t>
      </w:r>
      <w:r w:rsidRPr="004E5D15">
        <w:rPr>
          <w:rFonts w:asciiTheme="majorHAnsi" w:hAnsiTheme="majorHAnsi"/>
          <w:color w:val="767171" w:themeColor="background2" w:themeShade="80"/>
          <w:sz w:val="16"/>
          <w:szCs w:val="16"/>
          <w:vertAlign w:val="superscript"/>
        </w:rPr>
        <w:t>®</w:t>
      </w:r>
      <w:r w:rsidRPr="004E5D15">
        <w:rPr>
          <w:rFonts w:asciiTheme="majorHAnsi" w:hAnsiTheme="majorHAnsi"/>
          <w:color w:val="767171" w:themeColor="background2" w:themeShade="80"/>
          <w:sz w:val="16"/>
          <w:szCs w:val="16"/>
        </w:rPr>
        <w:t xml:space="preserve"> (VIX</w:t>
      </w:r>
      <w:r w:rsidRPr="004E5D15">
        <w:rPr>
          <w:rFonts w:asciiTheme="majorHAnsi" w:hAnsiTheme="majorHAnsi" w:cstheme="majorHAnsi"/>
          <w:color w:val="767171" w:themeColor="background2" w:themeShade="80"/>
          <w:sz w:val="16"/>
          <w:szCs w:val="16"/>
          <w:vertAlign w:val="superscript"/>
        </w:rPr>
        <w:t>®</w:t>
      </w:r>
      <w:r w:rsidRPr="004E5D15">
        <w:rPr>
          <w:rFonts w:asciiTheme="majorHAnsi" w:hAnsiTheme="majorHAnsi" w:cstheme="majorHAnsi"/>
          <w:color w:val="767171" w:themeColor="background2" w:themeShade="80"/>
          <w:sz w:val="16"/>
          <w:szCs w:val="16"/>
        </w:rPr>
        <w:t xml:space="preserve">) is a key measure of market expectations of near-term volatility conveyed by S&amp;P 500 stock index option prices. NYSE </w:t>
      </w:r>
      <w:r w:rsidRPr="004E5D15">
        <w:rPr>
          <w:rFonts w:asciiTheme="majorHAnsi" w:hAnsiTheme="majorHAnsi" w:cstheme="majorHAnsi"/>
          <w:color w:val="767171" w:themeColor="background2" w:themeShade="80"/>
          <w:sz w:val="16"/>
          <w:szCs w:val="16"/>
        </w:rPr>
        <w:t>Group, Inc. (NYSE:NYX) operates two securities exchanges: the New York Stock Exchange (the “NYSE”) and NYSE Arca (formerly known as the Archipelago Exchange, or ArcaEx</w:t>
      </w:r>
      <w:r w:rsidRPr="004E5D15">
        <w:rPr>
          <w:rFonts w:asciiTheme="majorHAnsi" w:hAnsiTheme="majorHAnsi" w:cstheme="majorHAnsi"/>
          <w:color w:val="767171" w:themeColor="background2" w:themeShade="80"/>
          <w:sz w:val="16"/>
          <w:szCs w:val="16"/>
          <w:vertAlign w:val="superscript"/>
        </w:rPr>
        <w:t>®</w:t>
      </w:r>
      <w:r w:rsidRPr="004E5D15">
        <w:rPr>
          <w:rFonts w:asciiTheme="majorHAnsi" w:hAnsiTheme="majorHAnsi" w:cstheme="majorHAnsi"/>
          <w:color w:val="767171" w:themeColor="background2" w:themeShade="80"/>
          <w:sz w:val="16"/>
          <w:szCs w:val="16"/>
        </w:rPr>
        <w:t>, and the Pacific Exchange). NYSE Group is a leading provider of securities listing, tra</w:t>
      </w:r>
      <w:r w:rsidRPr="004E5D15">
        <w:rPr>
          <w:rFonts w:asciiTheme="majorHAnsi" w:hAnsiTheme="majorHAnsi" w:cstheme="majorHAnsi"/>
          <w:color w:val="767171" w:themeColor="background2" w:themeShade="80"/>
          <w:sz w:val="16"/>
          <w:szCs w:val="16"/>
        </w:rPr>
        <w:t>ding and market data products and services. The New York Mercantile Exchange, Inc. (NYMEX) is the world's largest physical commodity futures exchange and the preeminent trading forum for energy and precious metals, with trading conducted through two divisi</w:t>
      </w:r>
      <w:r w:rsidRPr="004E5D15">
        <w:rPr>
          <w:rFonts w:asciiTheme="majorHAnsi" w:hAnsiTheme="majorHAnsi" w:cstheme="majorHAnsi"/>
          <w:color w:val="767171" w:themeColor="background2" w:themeShade="80"/>
          <w:sz w:val="16"/>
          <w:szCs w:val="16"/>
        </w:rPr>
        <w:t>ons – the NYMEX Division, home to the energy, platinum, and palladium markets, and the COMEX Division, on which all other metals trade.</w:t>
      </w:r>
      <w:r w:rsidRPr="004E5D15">
        <w:rPr>
          <w:rFonts w:asciiTheme="majorHAnsi" w:hAnsiTheme="majorHAnsi" w:cstheme="majorHAnsi"/>
          <w:color w:val="767171" w:themeColor="background2" w:themeShade="80"/>
          <w:sz w:val="16"/>
          <w:szCs w:val="16"/>
        </w:rPr>
        <w:t xml:space="preserve"> </w:t>
      </w:r>
      <w:r w:rsidRPr="004E5D15">
        <w:rPr>
          <w:rFonts w:asciiTheme="majorHAnsi" w:hAnsiTheme="majorHAnsi" w:cstheme="majorHAnsi"/>
          <w:color w:val="767171" w:themeColor="background2" w:themeShade="80"/>
          <w:sz w:val="16"/>
        </w:rPr>
        <w:t xml:space="preserve">The DAX 30 is a Blue-Chip stock market index consisting of the 30 major German companies trading on the Frankfurt Stock </w:t>
      </w:r>
      <w:r w:rsidRPr="004E5D15">
        <w:rPr>
          <w:rFonts w:asciiTheme="majorHAnsi" w:hAnsiTheme="majorHAnsi" w:cstheme="majorHAnsi"/>
          <w:color w:val="767171" w:themeColor="background2" w:themeShade="80"/>
          <w:sz w:val="16"/>
        </w:rPr>
        <w:t>Exchange.</w:t>
      </w:r>
      <w:r w:rsidRPr="004E5D15">
        <w:rPr>
          <w:rFonts w:asciiTheme="majorHAnsi" w:hAnsiTheme="majorHAnsi" w:cstheme="majorHAnsi"/>
          <w:color w:val="767171" w:themeColor="background2" w:themeShade="80"/>
        </w:rPr>
        <w:t xml:space="preserve"> </w:t>
      </w:r>
      <w:r w:rsidRPr="004E5D15">
        <w:rPr>
          <w:rFonts w:asciiTheme="majorHAnsi" w:hAnsiTheme="majorHAnsi" w:cstheme="majorHAnsi"/>
          <w:color w:val="767171" w:themeColor="background2" w:themeShade="80"/>
          <w:sz w:val="16"/>
        </w:rPr>
        <w:t xml:space="preserve">The FTSE Straits Times Index (STI) is a capitalization-weighted stock market index that is regarded as the benchmark index for the Singapore stock market. The CAC-40 Index is a narrow-based, modified capitalization-weighted index of 40 companies </w:t>
      </w:r>
      <w:r w:rsidRPr="004E5D15">
        <w:rPr>
          <w:rFonts w:asciiTheme="majorHAnsi" w:hAnsiTheme="majorHAnsi" w:cstheme="majorHAnsi"/>
          <w:color w:val="767171" w:themeColor="background2" w:themeShade="80"/>
          <w:sz w:val="16"/>
        </w:rPr>
        <w:t xml:space="preserve">listed on the Paris Bourse. The FTSE TWSE Taiwan 50 Index is a capitalization-weighted index of stocks comprises 50 companies listed on the Taiwan Stock Exchange developed by Taiwan Stock Exchange in collaboration with FTSE. </w:t>
      </w:r>
      <w:r w:rsidRPr="004E5D15">
        <w:rPr>
          <w:rFonts w:asciiTheme="majorHAnsi" w:hAnsiTheme="majorHAnsi" w:cstheme="majorHAnsi"/>
          <w:color w:val="767171" w:themeColor="background2" w:themeShade="80"/>
          <w:sz w:val="16"/>
          <w:szCs w:val="16"/>
        </w:rPr>
        <w:t>Nikkei 225 (Ticker: ^N225) is a</w:t>
      </w:r>
      <w:r w:rsidRPr="004E5D15">
        <w:rPr>
          <w:rFonts w:asciiTheme="majorHAnsi" w:hAnsiTheme="majorHAnsi" w:cstheme="majorHAnsi"/>
          <w:color w:val="767171" w:themeColor="background2" w:themeShade="80"/>
          <w:sz w:val="16"/>
          <w:szCs w:val="16"/>
        </w:rPr>
        <w:t xml:space="preserve"> stock market index for the Tokyo Stock Exchange (TSE). The Nikkei average is the most watched index of Asian stocks. </w:t>
      </w:r>
      <w:r w:rsidRPr="004E5D15">
        <w:rPr>
          <w:rFonts w:asciiTheme="majorHAnsi" w:hAnsiTheme="majorHAnsi" w:cstheme="majorHAnsi"/>
          <w:color w:val="767171" w:themeColor="background2" w:themeShade="80"/>
          <w:sz w:val="16"/>
        </w:rPr>
        <w:t>The IBEX 35 is the benchmark stock market index of the Bolsa de Madrid, Spain’s principal stock exchange. The FTSEurofirst 300 Index compr</w:t>
      </w:r>
      <w:r w:rsidRPr="004E5D15">
        <w:rPr>
          <w:rFonts w:asciiTheme="majorHAnsi" w:hAnsiTheme="majorHAnsi" w:cstheme="majorHAnsi"/>
          <w:color w:val="767171" w:themeColor="background2" w:themeShade="80"/>
          <w:sz w:val="16"/>
        </w:rPr>
        <w:t>ises the 300 largest companies ranked by market capitalization in the FTSE Developed Europe Index.</w:t>
      </w:r>
      <w:r w:rsidRPr="004E5D15">
        <w:rPr>
          <w:rFonts w:asciiTheme="majorHAnsi" w:hAnsiTheme="majorHAnsi" w:cstheme="majorHAnsi"/>
          <w:color w:val="767171" w:themeColor="background2" w:themeShade="80"/>
        </w:rPr>
        <w:t xml:space="preserve"> </w:t>
      </w:r>
      <w:r w:rsidRPr="004E5D15">
        <w:rPr>
          <w:rFonts w:asciiTheme="majorHAnsi" w:hAnsiTheme="majorHAnsi" w:cstheme="majorHAnsi"/>
          <w:color w:val="767171" w:themeColor="background2" w:themeShade="80"/>
          <w:sz w:val="16"/>
        </w:rPr>
        <w:t>The Mexican Stock Exchange, commonly known as Mexican Bolsa, Mexbol, or BMV, is the only stock exchange in Mexico. The S&amp;P/TSX Composite Index is an index of</w:t>
      </w:r>
      <w:r w:rsidRPr="004E5D15">
        <w:rPr>
          <w:rFonts w:asciiTheme="majorHAnsi" w:hAnsiTheme="majorHAnsi" w:cstheme="majorHAnsi"/>
          <w:color w:val="767171" w:themeColor="background2" w:themeShade="80"/>
          <w:sz w:val="16"/>
        </w:rPr>
        <w:t xml:space="preserve"> the stock (equity) prices of the largest companies on the Toronto Stock Exchange (TSX) as measured by market capitalization. </w:t>
      </w:r>
      <w:r w:rsidRPr="004E5D15">
        <w:rPr>
          <w:rFonts w:asciiTheme="majorHAnsi" w:hAnsiTheme="majorHAnsi" w:cstheme="majorHAnsi"/>
          <w:color w:val="767171" w:themeColor="background2" w:themeShade="80"/>
          <w:sz w:val="16"/>
          <w:szCs w:val="16"/>
        </w:rPr>
        <w:t>The Korea Composite Stock Price Index or KOSPI is the major stock market index of South Korea, representing all common stocks trad</w:t>
      </w:r>
      <w:r w:rsidRPr="004E5D15">
        <w:rPr>
          <w:rFonts w:asciiTheme="majorHAnsi" w:hAnsiTheme="majorHAnsi" w:cstheme="majorHAnsi"/>
          <w:color w:val="767171" w:themeColor="background2" w:themeShade="80"/>
          <w:sz w:val="16"/>
          <w:szCs w:val="16"/>
        </w:rPr>
        <w:t xml:space="preserve">ed on the Korea Exchange. The MSCI EAFE Index is an equity index which captures large-cap and mid-cap representation across 21 </w:t>
      </w:r>
      <w:r w:rsidRPr="004E5D15">
        <w:rPr>
          <w:rFonts w:asciiTheme="majorHAnsi" w:hAnsiTheme="majorHAnsi" w:cstheme="majorHAnsi"/>
          <w:color w:val="767171" w:themeColor="background2" w:themeShade="80"/>
          <w:sz w:val="16"/>
          <w:szCs w:val="16"/>
        </w:rPr>
        <w:t>d</w:t>
      </w:r>
      <w:r w:rsidRPr="004E5D15">
        <w:rPr>
          <w:rFonts w:asciiTheme="majorHAnsi" w:hAnsiTheme="majorHAnsi" w:cstheme="majorHAnsi"/>
          <w:color w:val="767171" w:themeColor="background2" w:themeShade="80"/>
          <w:sz w:val="16"/>
          <w:szCs w:val="16"/>
        </w:rPr>
        <w:t xml:space="preserve">eveloped </w:t>
      </w:r>
      <w:r w:rsidRPr="004E5D15">
        <w:rPr>
          <w:rFonts w:asciiTheme="majorHAnsi" w:hAnsiTheme="majorHAnsi" w:cstheme="majorHAnsi"/>
          <w:color w:val="767171" w:themeColor="background2" w:themeShade="80"/>
          <w:sz w:val="16"/>
          <w:szCs w:val="16"/>
        </w:rPr>
        <w:t>m</w:t>
      </w:r>
      <w:r w:rsidRPr="004E5D15">
        <w:rPr>
          <w:rFonts w:asciiTheme="majorHAnsi" w:hAnsiTheme="majorHAnsi" w:cstheme="majorHAnsi"/>
          <w:color w:val="767171" w:themeColor="background2" w:themeShade="80"/>
          <w:sz w:val="16"/>
          <w:szCs w:val="16"/>
        </w:rPr>
        <w:t>arkets around the world. Established in January 1980, the All Ordinaries is the oldest index of shares in Australia. I</w:t>
      </w:r>
      <w:r w:rsidRPr="004E5D15">
        <w:rPr>
          <w:rFonts w:asciiTheme="majorHAnsi" w:hAnsiTheme="majorHAnsi" w:cstheme="majorHAnsi"/>
          <w:color w:val="767171" w:themeColor="background2" w:themeShade="80"/>
          <w:sz w:val="16"/>
          <w:szCs w:val="16"/>
        </w:rPr>
        <w:t xml:space="preserve">t is made up of the share prices for 500 of the largest companies listed on the Australian Securities Exchange. </w:t>
      </w:r>
      <w:r w:rsidRPr="004E5D15">
        <w:rPr>
          <w:rFonts w:asciiTheme="majorHAnsi" w:hAnsiTheme="majorHAnsi" w:cstheme="majorHAnsi"/>
          <w:color w:val="767171" w:themeColor="background2" w:themeShade="80"/>
          <w:sz w:val="16"/>
          <w:szCs w:val="16"/>
        </w:rPr>
        <w:t xml:space="preserve">The MICEX 10 Index is an unweighted price index that tracks the ten most liquid Russian stocks listed on MICEX-RTS in Moscow. </w:t>
      </w:r>
      <w:r w:rsidRPr="004E5D15">
        <w:rPr>
          <w:rFonts w:asciiTheme="majorHAnsi" w:hAnsiTheme="majorHAnsi" w:cstheme="majorHAnsi"/>
          <w:color w:val="767171" w:themeColor="background2" w:themeShade="80"/>
          <w:sz w:val="16"/>
          <w:szCs w:val="16"/>
        </w:rPr>
        <w:t xml:space="preserve">The SSE Composite </w:t>
      </w:r>
      <w:r w:rsidRPr="004E5D15">
        <w:rPr>
          <w:rFonts w:asciiTheme="majorHAnsi" w:hAnsiTheme="majorHAnsi" w:cstheme="majorHAnsi"/>
          <w:color w:val="767171" w:themeColor="background2" w:themeShade="80"/>
          <w:sz w:val="16"/>
          <w:szCs w:val="16"/>
        </w:rPr>
        <w:t xml:space="preserve">Index is an index of all stocks (A shares and B shares) that are traded at the Shanghai Stock Exchange. </w:t>
      </w:r>
      <w:r w:rsidRPr="004E5D15">
        <w:rPr>
          <w:rFonts w:asciiTheme="majorHAnsi" w:hAnsiTheme="majorHAnsi" w:cstheme="majorHAnsi"/>
          <w:color w:val="767171" w:themeColor="background2" w:themeShade="80"/>
          <w:sz w:val="16"/>
          <w:szCs w:val="16"/>
        </w:rPr>
        <w:t xml:space="preserve">The MERVAL Index (MERcado de VALores, literally Stock Exchange) is the most important index of the Buenos Aires Stock Exchange. </w:t>
      </w:r>
      <w:r w:rsidRPr="004E5D15">
        <w:rPr>
          <w:rFonts w:asciiTheme="majorHAnsi" w:hAnsiTheme="majorHAnsi" w:cstheme="majorHAnsi"/>
          <w:color w:val="767171" w:themeColor="background2" w:themeShade="80"/>
          <w:sz w:val="16"/>
          <w:szCs w:val="16"/>
        </w:rPr>
        <w:t>The U</w:t>
      </w:r>
      <w:r w:rsidRPr="004E5D15">
        <w:rPr>
          <w:rFonts w:asciiTheme="majorHAnsi" w:hAnsiTheme="majorHAnsi" w:cstheme="majorHAnsi"/>
          <w:color w:val="767171" w:themeColor="background2" w:themeShade="80"/>
          <w:sz w:val="16"/>
          <w:szCs w:val="16"/>
        </w:rPr>
        <w:t>.</w:t>
      </w:r>
      <w:r w:rsidRPr="004E5D15">
        <w:rPr>
          <w:rFonts w:asciiTheme="majorHAnsi" w:hAnsiTheme="majorHAnsi" w:cstheme="majorHAnsi"/>
          <w:color w:val="767171" w:themeColor="background2" w:themeShade="80"/>
          <w:sz w:val="16"/>
          <w:szCs w:val="16"/>
        </w:rPr>
        <w:t>S</w:t>
      </w:r>
      <w:r w:rsidRPr="004E5D15">
        <w:rPr>
          <w:rFonts w:asciiTheme="majorHAnsi" w:hAnsiTheme="majorHAnsi" w:cstheme="majorHAnsi"/>
          <w:color w:val="767171" w:themeColor="background2" w:themeShade="80"/>
          <w:sz w:val="16"/>
          <w:szCs w:val="16"/>
        </w:rPr>
        <w:t>.</w:t>
      </w:r>
      <w:r w:rsidRPr="004E5D15">
        <w:rPr>
          <w:rFonts w:asciiTheme="majorHAnsi" w:hAnsiTheme="majorHAnsi" w:cstheme="majorHAnsi"/>
          <w:color w:val="767171" w:themeColor="background2" w:themeShade="80"/>
          <w:sz w:val="16"/>
          <w:szCs w:val="16"/>
        </w:rPr>
        <w:t xml:space="preserve"> Dollar Index me</w:t>
      </w:r>
      <w:r w:rsidRPr="004E5D15">
        <w:rPr>
          <w:rFonts w:asciiTheme="majorHAnsi" w:hAnsiTheme="majorHAnsi" w:cstheme="majorHAnsi"/>
          <w:color w:val="767171" w:themeColor="background2" w:themeShade="80"/>
          <w:sz w:val="16"/>
          <w:szCs w:val="16"/>
        </w:rPr>
        <w:t xml:space="preserve">asures the performance of the U.S. dollar against a basket of six currencies. </w:t>
      </w:r>
      <w:r w:rsidRPr="004E5D15">
        <w:rPr>
          <w:rFonts w:asciiTheme="majorHAnsi" w:hAnsiTheme="majorHAnsi" w:cstheme="majorHAnsi"/>
          <w:color w:val="767171" w:themeColor="background2" w:themeShade="80"/>
          <w:sz w:val="16"/>
          <w:szCs w:val="16"/>
        </w:rPr>
        <w:t>Additional risks are associated with international investing, such as currency fluctuations, political and economic instability and differences in accounting standards. This mate</w:t>
      </w:r>
      <w:r w:rsidRPr="004E5D15">
        <w:rPr>
          <w:rFonts w:asciiTheme="majorHAnsi" w:hAnsiTheme="majorHAnsi" w:cstheme="majorHAnsi"/>
          <w:color w:val="767171" w:themeColor="background2" w:themeShade="80"/>
          <w:sz w:val="16"/>
          <w:szCs w:val="16"/>
        </w:rPr>
        <w:t>rial represents an assessment of the market environment</w:t>
      </w:r>
      <w:r w:rsidRPr="004E5D15">
        <w:rPr>
          <w:rFonts w:asciiTheme="majorHAnsi" w:hAnsiTheme="majorHAnsi" w:cs="Arial"/>
          <w:color w:val="767171" w:themeColor="background2" w:themeShade="80"/>
          <w:sz w:val="16"/>
          <w:szCs w:val="16"/>
        </w:rPr>
        <w:t xml:space="preserve"> at a specific point in time and is not intended to be a forecast of future events, or a guarantee of future results. MarketingPro, Inc. is not affiliated with any person or firm that may be providing </w:t>
      </w:r>
      <w:r w:rsidRPr="004E5D15">
        <w:rPr>
          <w:rFonts w:asciiTheme="majorHAnsi" w:hAnsiTheme="majorHAnsi" w:cs="Arial"/>
          <w:color w:val="767171" w:themeColor="background2" w:themeShade="80"/>
          <w:sz w:val="16"/>
          <w:szCs w:val="16"/>
        </w:rPr>
        <w:t>this information to you. The publisher is not engaged in rendering legal, accounting or other professional services. If assistance is needed, the reader is advised to engage the services of a competent professional</w:t>
      </w:r>
      <w:r w:rsidRPr="004E5D15">
        <w:rPr>
          <w:rFonts w:asciiTheme="majorHAnsi" w:hAnsiTheme="majorHAnsi"/>
          <w:color w:val="767171" w:themeColor="background2" w:themeShade="80"/>
          <w:sz w:val="16"/>
          <w:szCs w:val="16"/>
        </w:rPr>
        <w:t>.</w:t>
      </w:r>
    </w:p>
    <w:p w:rsidR="00237981" w:rsidRPr="005A5227" w:rsidRDefault="00861533" w:rsidP="00EE6BF2">
      <w:pPr>
        <w:spacing w:line="276" w:lineRule="auto"/>
        <w:rPr>
          <w:rFonts w:asciiTheme="majorHAnsi" w:hAnsiTheme="majorHAnsi" w:cs="Arial"/>
          <w:color w:val="767171" w:themeColor="background2" w:themeShade="80"/>
          <w:sz w:val="16"/>
          <w:szCs w:val="16"/>
        </w:rPr>
      </w:pPr>
      <w:r w:rsidRPr="005A5227">
        <w:rPr>
          <w:rFonts w:asciiTheme="majorHAnsi" w:hAnsiTheme="majorHAnsi" w:cs="Arial"/>
          <w:color w:val="767171" w:themeColor="background2" w:themeShade="80"/>
          <w:sz w:val="16"/>
          <w:szCs w:val="16"/>
        </w:rPr>
        <w:t>CITATIONS:</w:t>
      </w:r>
    </w:p>
    <w:p w:rsidR="00D07F51" w:rsidRPr="005A5227" w:rsidRDefault="00861533" w:rsidP="00D07F51">
      <w:pPr>
        <w:pStyle w:val="PlainText"/>
        <w:rPr>
          <w:rFonts w:asciiTheme="majorHAnsi" w:eastAsiaTheme="minorHAnsi" w:hAnsiTheme="majorHAnsi" w:cstheme="majorHAnsi"/>
          <w:color w:val="767171" w:themeColor="background2" w:themeShade="80"/>
          <w:sz w:val="16"/>
          <w:szCs w:val="16"/>
        </w:rPr>
      </w:pPr>
      <w:bookmarkStart w:id="5" w:name="_Hlk520808669"/>
      <w:r w:rsidRPr="005A5227">
        <w:rPr>
          <w:rFonts w:asciiTheme="majorHAnsi" w:eastAsiaTheme="minorHAnsi" w:hAnsiTheme="majorHAnsi" w:cstheme="majorHAnsi"/>
          <w:color w:val="767171" w:themeColor="background2" w:themeShade="80"/>
          <w:sz w:val="16"/>
          <w:szCs w:val="16"/>
        </w:rPr>
        <w:t xml:space="preserve">1 - </w:t>
      </w:r>
      <w:r w:rsidRPr="005A5227">
        <w:rPr>
          <w:rFonts w:asciiTheme="majorHAnsi" w:eastAsiaTheme="minorHAnsi" w:hAnsiTheme="majorHAnsi" w:cstheme="majorHAnsi"/>
          <w:color w:val="767171" w:themeColor="background2" w:themeShade="80"/>
          <w:sz w:val="16"/>
          <w:szCs w:val="16"/>
        </w:rPr>
        <w:t xml:space="preserve">factset.com/hubfs/Resources%20Section/Research%20Desk/Earnings%20Insight/EarningsInsight_042619.pdf </w:t>
      </w:r>
      <w:r w:rsidRPr="005A5227">
        <w:rPr>
          <w:rFonts w:asciiTheme="majorHAnsi" w:eastAsiaTheme="minorHAnsi" w:hAnsiTheme="majorHAnsi" w:cstheme="majorHAnsi"/>
          <w:color w:val="767171" w:themeColor="background2" w:themeShade="80"/>
          <w:sz w:val="16"/>
          <w:szCs w:val="16"/>
        </w:rPr>
        <w:t>[4/</w:t>
      </w:r>
      <w:r w:rsidRPr="005A5227">
        <w:rPr>
          <w:rFonts w:asciiTheme="majorHAnsi" w:eastAsiaTheme="minorHAnsi" w:hAnsiTheme="majorHAnsi" w:cstheme="majorHAnsi"/>
          <w:color w:val="767171" w:themeColor="background2" w:themeShade="80"/>
          <w:sz w:val="16"/>
          <w:szCs w:val="16"/>
        </w:rPr>
        <w:t>26</w:t>
      </w:r>
      <w:r w:rsidRPr="005A5227">
        <w:rPr>
          <w:rFonts w:asciiTheme="majorHAnsi" w:eastAsiaTheme="minorHAnsi" w:hAnsiTheme="majorHAnsi" w:cstheme="majorHAnsi"/>
          <w:color w:val="767171" w:themeColor="background2" w:themeShade="80"/>
          <w:sz w:val="16"/>
          <w:szCs w:val="16"/>
        </w:rPr>
        <w:t>/19]</w:t>
      </w:r>
    </w:p>
    <w:p w:rsidR="00D07F51" w:rsidRPr="005A5227" w:rsidRDefault="00861533" w:rsidP="00D07F51">
      <w:pPr>
        <w:pStyle w:val="PlainText"/>
        <w:rPr>
          <w:rFonts w:asciiTheme="majorHAnsi" w:eastAsiaTheme="minorHAnsi" w:hAnsiTheme="majorHAnsi" w:cstheme="majorHAnsi"/>
          <w:color w:val="767171" w:themeColor="background2" w:themeShade="80"/>
          <w:sz w:val="16"/>
          <w:szCs w:val="16"/>
        </w:rPr>
      </w:pPr>
    </w:p>
    <w:p w:rsidR="00BD12D6" w:rsidRPr="005A5227" w:rsidRDefault="00861533" w:rsidP="00BD12D6">
      <w:pPr>
        <w:spacing w:after="0" w:line="240" w:lineRule="auto"/>
        <w:rPr>
          <w:rFonts w:asciiTheme="majorHAnsi" w:hAnsiTheme="majorHAnsi" w:cstheme="majorHAnsi"/>
          <w:color w:val="767171" w:themeColor="background2" w:themeShade="80"/>
          <w:sz w:val="16"/>
          <w:szCs w:val="16"/>
        </w:rPr>
      </w:pPr>
      <w:r w:rsidRPr="005A5227">
        <w:rPr>
          <w:rFonts w:asciiTheme="majorHAnsi" w:hAnsiTheme="majorHAnsi" w:cstheme="majorHAnsi"/>
          <w:color w:val="767171" w:themeColor="background2" w:themeShade="80"/>
          <w:sz w:val="16"/>
          <w:szCs w:val="16"/>
        </w:rPr>
        <w:t>2 - marketwatch.com/tools/calendars/economic [4/30/19]</w:t>
      </w:r>
    </w:p>
    <w:p w:rsidR="00D07F51" w:rsidRPr="005A5227" w:rsidRDefault="00861533" w:rsidP="00D07F51">
      <w:pPr>
        <w:spacing w:after="0" w:line="240" w:lineRule="auto"/>
        <w:rPr>
          <w:rFonts w:asciiTheme="majorHAnsi" w:hAnsiTheme="majorHAnsi" w:cstheme="majorHAnsi"/>
          <w:color w:val="767171" w:themeColor="background2" w:themeShade="80"/>
          <w:spacing w:val="-8"/>
          <w:sz w:val="16"/>
          <w:szCs w:val="16"/>
        </w:rPr>
      </w:pPr>
      <w:r w:rsidRPr="005A5227">
        <w:rPr>
          <w:noProof/>
          <w:color w:val="767171" w:themeColor="background2" w:themeShade="80"/>
        </w:rPr>
        <w:t xml:space="preserve"> </w:t>
      </w:r>
    </w:p>
    <w:p w:rsidR="00D07F51" w:rsidRPr="005A5227" w:rsidRDefault="00861533" w:rsidP="00D07F51">
      <w:pPr>
        <w:spacing w:after="0" w:line="240" w:lineRule="auto"/>
        <w:rPr>
          <w:rFonts w:asciiTheme="majorHAnsi" w:hAnsiTheme="majorHAnsi" w:cstheme="majorHAnsi"/>
          <w:color w:val="767171" w:themeColor="background2" w:themeShade="80"/>
          <w:sz w:val="16"/>
          <w:szCs w:val="16"/>
        </w:rPr>
      </w:pPr>
    </w:p>
    <w:p w:rsidR="000A6FC4" w:rsidRPr="005A5227" w:rsidRDefault="00861533" w:rsidP="000A6FC4">
      <w:pPr>
        <w:spacing w:after="0" w:line="240" w:lineRule="auto"/>
        <w:rPr>
          <w:noProof/>
          <w:color w:val="767171" w:themeColor="background2" w:themeShade="80"/>
        </w:rPr>
      </w:pPr>
      <w:r w:rsidRPr="005A5227">
        <w:rPr>
          <w:rFonts w:asciiTheme="majorHAnsi" w:hAnsiTheme="majorHAnsi" w:cstheme="majorHAnsi"/>
          <w:color w:val="767171" w:themeColor="background2" w:themeShade="80"/>
          <w:sz w:val="16"/>
          <w:szCs w:val="16"/>
        </w:rPr>
        <w:t>3 - investing.com/economic-calendar/ [4/30/19]</w:t>
      </w:r>
      <w:r w:rsidRPr="005A5227">
        <w:rPr>
          <w:noProof/>
          <w:color w:val="767171" w:themeColor="background2" w:themeShade="80"/>
        </w:rPr>
        <w:t xml:space="preserve"> </w:t>
      </w:r>
    </w:p>
    <w:p w:rsidR="000A6FC4" w:rsidRPr="005A5227" w:rsidRDefault="00861533" w:rsidP="000A6FC4">
      <w:pPr>
        <w:spacing w:after="0" w:line="240" w:lineRule="auto"/>
        <w:rPr>
          <w:rFonts w:asciiTheme="majorHAnsi" w:hAnsiTheme="majorHAnsi" w:cstheme="majorHAnsi"/>
          <w:color w:val="767171" w:themeColor="background2" w:themeShade="80"/>
          <w:sz w:val="16"/>
          <w:szCs w:val="16"/>
        </w:rPr>
      </w:pPr>
    </w:p>
    <w:p w:rsidR="00D07F51" w:rsidRPr="005A5227" w:rsidRDefault="00861533" w:rsidP="00D07F51">
      <w:pPr>
        <w:spacing w:after="0" w:line="240" w:lineRule="auto"/>
        <w:rPr>
          <w:rFonts w:asciiTheme="majorHAnsi" w:hAnsiTheme="majorHAnsi" w:cstheme="majorHAnsi"/>
          <w:color w:val="767171" w:themeColor="background2" w:themeShade="80"/>
          <w:sz w:val="16"/>
          <w:szCs w:val="16"/>
        </w:rPr>
      </w:pPr>
      <w:r w:rsidRPr="005A5227">
        <w:rPr>
          <w:rFonts w:asciiTheme="majorHAnsi" w:hAnsiTheme="majorHAnsi" w:cstheme="majorHAnsi"/>
          <w:color w:val="767171" w:themeColor="background2" w:themeShade="80"/>
          <w:sz w:val="16"/>
          <w:szCs w:val="16"/>
        </w:rPr>
        <w:t xml:space="preserve">4 - </w:t>
      </w:r>
      <w:r w:rsidRPr="005A5227">
        <w:rPr>
          <w:rFonts w:asciiTheme="majorHAnsi" w:hAnsiTheme="majorHAnsi" w:cstheme="majorHAnsi"/>
          <w:color w:val="767171" w:themeColor="background2" w:themeShade="80"/>
          <w:sz w:val="16"/>
          <w:szCs w:val="16"/>
        </w:rPr>
        <w:t xml:space="preserve">apnews.com/73c7e47b547a44d2872fbbe4e0107926 </w:t>
      </w:r>
      <w:r w:rsidRPr="005A5227">
        <w:rPr>
          <w:rFonts w:asciiTheme="majorHAnsi" w:hAnsiTheme="majorHAnsi" w:cstheme="majorHAnsi"/>
          <w:color w:val="767171" w:themeColor="background2" w:themeShade="80"/>
          <w:sz w:val="16"/>
          <w:szCs w:val="16"/>
        </w:rPr>
        <w:t>[</w:t>
      </w:r>
      <w:r w:rsidRPr="005A5227">
        <w:rPr>
          <w:rFonts w:asciiTheme="majorHAnsi" w:hAnsiTheme="majorHAnsi" w:cstheme="majorHAnsi"/>
          <w:color w:val="767171" w:themeColor="background2" w:themeShade="80"/>
          <w:sz w:val="16"/>
          <w:szCs w:val="16"/>
        </w:rPr>
        <w:t>4</w:t>
      </w:r>
      <w:r w:rsidRPr="005A5227">
        <w:rPr>
          <w:rFonts w:asciiTheme="majorHAnsi" w:hAnsiTheme="majorHAnsi" w:cstheme="majorHAnsi"/>
          <w:color w:val="767171" w:themeColor="background2" w:themeShade="80"/>
          <w:sz w:val="16"/>
          <w:szCs w:val="16"/>
        </w:rPr>
        <w:t>/</w:t>
      </w:r>
      <w:r w:rsidRPr="005A5227">
        <w:rPr>
          <w:rFonts w:asciiTheme="majorHAnsi" w:hAnsiTheme="majorHAnsi" w:cstheme="majorHAnsi"/>
          <w:color w:val="767171" w:themeColor="background2" w:themeShade="80"/>
          <w:sz w:val="16"/>
          <w:szCs w:val="16"/>
        </w:rPr>
        <w:t>10</w:t>
      </w:r>
      <w:r w:rsidRPr="005A5227">
        <w:rPr>
          <w:rFonts w:asciiTheme="majorHAnsi" w:hAnsiTheme="majorHAnsi" w:cstheme="majorHAnsi"/>
          <w:color w:val="767171" w:themeColor="background2" w:themeShade="80"/>
          <w:sz w:val="16"/>
          <w:szCs w:val="16"/>
        </w:rPr>
        <w:t xml:space="preserve">/19] </w:t>
      </w:r>
      <w:bookmarkEnd w:id="5"/>
    </w:p>
    <w:p w:rsidR="00D07F51" w:rsidRPr="005A5227" w:rsidRDefault="00861533" w:rsidP="00D07F51">
      <w:pPr>
        <w:spacing w:after="0" w:line="240" w:lineRule="auto"/>
        <w:rPr>
          <w:rFonts w:asciiTheme="majorHAnsi" w:hAnsiTheme="majorHAnsi" w:cstheme="majorHAnsi"/>
          <w:color w:val="767171" w:themeColor="background2" w:themeShade="80"/>
          <w:spacing w:val="-8"/>
          <w:sz w:val="16"/>
          <w:szCs w:val="16"/>
        </w:rPr>
      </w:pPr>
    </w:p>
    <w:p w:rsidR="00D07F51" w:rsidRPr="005A5227" w:rsidRDefault="00861533" w:rsidP="00D07F51">
      <w:pPr>
        <w:spacing w:after="0" w:line="240" w:lineRule="auto"/>
        <w:rPr>
          <w:rFonts w:asciiTheme="majorHAnsi" w:hAnsiTheme="majorHAnsi" w:cstheme="majorHAnsi"/>
          <w:color w:val="767171" w:themeColor="background2" w:themeShade="80"/>
          <w:sz w:val="16"/>
          <w:szCs w:val="16"/>
        </w:rPr>
      </w:pPr>
      <w:r w:rsidRPr="005A5227">
        <w:rPr>
          <w:rFonts w:asciiTheme="majorHAnsi" w:hAnsiTheme="majorHAnsi" w:cstheme="majorHAnsi"/>
          <w:color w:val="767171" w:themeColor="background2" w:themeShade="80"/>
          <w:sz w:val="16"/>
          <w:szCs w:val="16"/>
        </w:rPr>
        <w:t>5 - euronews.com/2019/04/11/brexit-delay-does-the-extension-to-october-change-anything [4/</w:t>
      </w:r>
      <w:r w:rsidRPr="005A5227">
        <w:rPr>
          <w:rFonts w:asciiTheme="majorHAnsi" w:hAnsiTheme="majorHAnsi" w:cstheme="majorHAnsi"/>
          <w:color w:val="767171" w:themeColor="background2" w:themeShade="80"/>
          <w:sz w:val="16"/>
          <w:szCs w:val="16"/>
        </w:rPr>
        <w:t>11</w:t>
      </w:r>
      <w:r w:rsidRPr="005A5227">
        <w:rPr>
          <w:rFonts w:asciiTheme="majorHAnsi" w:hAnsiTheme="majorHAnsi" w:cstheme="majorHAnsi"/>
          <w:color w:val="767171" w:themeColor="background2" w:themeShade="80"/>
          <w:sz w:val="16"/>
          <w:szCs w:val="16"/>
        </w:rPr>
        <w:t xml:space="preserve">/19] </w:t>
      </w:r>
    </w:p>
    <w:p w:rsidR="00D07F51" w:rsidRPr="005A5227" w:rsidRDefault="00861533" w:rsidP="00D07F51">
      <w:pPr>
        <w:spacing w:after="0" w:line="240" w:lineRule="auto"/>
        <w:rPr>
          <w:rFonts w:asciiTheme="majorHAnsi" w:hAnsiTheme="majorHAnsi" w:cstheme="majorHAnsi"/>
          <w:color w:val="767171" w:themeColor="background2" w:themeShade="80"/>
          <w:sz w:val="16"/>
          <w:szCs w:val="16"/>
        </w:rPr>
      </w:pPr>
    </w:p>
    <w:p w:rsidR="00D07F51" w:rsidRPr="005A5227" w:rsidRDefault="00861533" w:rsidP="00D07F51">
      <w:pPr>
        <w:spacing w:after="0" w:line="240" w:lineRule="auto"/>
        <w:rPr>
          <w:rFonts w:asciiTheme="majorHAnsi" w:hAnsiTheme="majorHAnsi" w:cstheme="majorHAnsi"/>
          <w:color w:val="767171" w:themeColor="background2" w:themeShade="80"/>
          <w:sz w:val="16"/>
          <w:szCs w:val="16"/>
        </w:rPr>
      </w:pPr>
      <w:r w:rsidRPr="005A5227">
        <w:rPr>
          <w:rFonts w:asciiTheme="majorHAnsi" w:hAnsiTheme="majorHAnsi" w:cstheme="majorHAnsi"/>
          <w:color w:val="767171" w:themeColor="background2" w:themeShade="80"/>
          <w:sz w:val="16"/>
          <w:szCs w:val="16"/>
        </w:rPr>
        <w:t>6 - bloomberg.com/news/articles/2019-04-30/china-manufacturing-gauge-unexpectedly-declines-in-april [</w:t>
      </w:r>
      <w:r w:rsidRPr="005A5227">
        <w:rPr>
          <w:rFonts w:asciiTheme="majorHAnsi" w:hAnsiTheme="majorHAnsi" w:cstheme="majorHAnsi"/>
          <w:color w:val="767171" w:themeColor="background2" w:themeShade="80"/>
          <w:sz w:val="16"/>
          <w:szCs w:val="16"/>
        </w:rPr>
        <w:t>4/30/19]</w:t>
      </w:r>
      <w:r w:rsidRPr="005A5227">
        <w:rPr>
          <w:noProof/>
          <w:color w:val="767171" w:themeColor="background2" w:themeShade="80"/>
          <w:sz w:val="16"/>
          <w:szCs w:val="16"/>
        </w:rPr>
        <w:t xml:space="preserve"> </w:t>
      </w:r>
    </w:p>
    <w:p w:rsidR="00D07F51" w:rsidRPr="005A5227" w:rsidRDefault="00861533" w:rsidP="00D07F51">
      <w:pPr>
        <w:spacing w:after="0" w:line="240" w:lineRule="auto"/>
        <w:rPr>
          <w:rFonts w:asciiTheme="majorHAnsi" w:hAnsiTheme="majorHAnsi" w:cstheme="majorHAnsi"/>
          <w:noProof/>
          <w:color w:val="767171" w:themeColor="background2" w:themeShade="80"/>
          <w:sz w:val="16"/>
          <w:szCs w:val="16"/>
        </w:rPr>
      </w:pPr>
    </w:p>
    <w:p w:rsidR="00D07F51" w:rsidRPr="005A5227" w:rsidRDefault="00861533" w:rsidP="00D07F51">
      <w:pPr>
        <w:spacing w:after="0" w:line="240" w:lineRule="auto"/>
        <w:rPr>
          <w:rFonts w:asciiTheme="majorHAnsi" w:hAnsiTheme="majorHAnsi" w:cstheme="majorHAnsi"/>
          <w:color w:val="767171" w:themeColor="background2" w:themeShade="80"/>
          <w:sz w:val="16"/>
          <w:szCs w:val="16"/>
        </w:rPr>
      </w:pPr>
      <w:r w:rsidRPr="005A5227">
        <w:rPr>
          <w:rFonts w:asciiTheme="majorHAnsi" w:hAnsiTheme="majorHAnsi" w:cstheme="majorHAnsi"/>
          <w:color w:val="767171" w:themeColor="background2" w:themeShade="80"/>
          <w:sz w:val="16"/>
          <w:szCs w:val="16"/>
        </w:rPr>
        <w:t>7 - markets.on.nytimes.com/research/markets/worldmarkets/worldmarkets.asp [4/30/19]</w:t>
      </w:r>
    </w:p>
    <w:p w:rsidR="00D07F51" w:rsidRPr="005A5227" w:rsidRDefault="00861533" w:rsidP="00D07F51">
      <w:pPr>
        <w:spacing w:after="0" w:line="240" w:lineRule="auto"/>
        <w:rPr>
          <w:rFonts w:asciiTheme="majorHAnsi" w:hAnsiTheme="majorHAnsi" w:cstheme="majorHAnsi"/>
          <w:color w:val="767171" w:themeColor="background2" w:themeShade="80"/>
          <w:sz w:val="16"/>
          <w:szCs w:val="16"/>
        </w:rPr>
      </w:pPr>
    </w:p>
    <w:p w:rsidR="009839AF" w:rsidRPr="005A5227" w:rsidRDefault="00861533" w:rsidP="009839AF">
      <w:pPr>
        <w:rPr>
          <w:rFonts w:asciiTheme="majorHAnsi" w:hAnsiTheme="majorHAnsi" w:cstheme="majorHAnsi"/>
          <w:color w:val="767171" w:themeColor="background2" w:themeShade="80"/>
          <w:sz w:val="16"/>
          <w:szCs w:val="16"/>
        </w:rPr>
      </w:pPr>
      <w:r w:rsidRPr="005A5227">
        <w:rPr>
          <w:rFonts w:asciiTheme="majorHAnsi" w:hAnsiTheme="majorHAnsi" w:cstheme="majorHAnsi"/>
          <w:color w:val="767171" w:themeColor="background2" w:themeShade="80"/>
          <w:sz w:val="16"/>
          <w:szCs w:val="16"/>
        </w:rPr>
        <w:t>8 - quotes.wsj.com/index/XX/990300/historical-prices [4/30/19]</w:t>
      </w:r>
    </w:p>
    <w:p w:rsidR="00D07F51" w:rsidRPr="005A5227" w:rsidRDefault="00861533" w:rsidP="00D07F51">
      <w:pPr>
        <w:spacing w:after="0" w:line="240" w:lineRule="auto"/>
        <w:rPr>
          <w:rFonts w:asciiTheme="majorHAnsi" w:hAnsiTheme="majorHAnsi" w:cstheme="majorHAnsi"/>
          <w:noProof/>
          <w:color w:val="767171" w:themeColor="background2" w:themeShade="80"/>
          <w:sz w:val="16"/>
          <w:szCs w:val="16"/>
        </w:rPr>
      </w:pPr>
      <w:r w:rsidRPr="005A5227">
        <w:rPr>
          <w:rFonts w:asciiTheme="majorHAnsi" w:hAnsiTheme="majorHAnsi" w:cstheme="majorHAnsi"/>
          <w:noProof/>
          <w:color w:val="767171" w:themeColor="background2" w:themeShade="80"/>
          <w:sz w:val="16"/>
          <w:szCs w:val="16"/>
        </w:rPr>
        <w:t>9 - money.cnn.com/data/commodities/ [4/30/19]</w:t>
      </w:r>
    </w:p>
    <w:p w:rsidR="005A5227" w:rsidRPr="005A5227" w:rsidRDefault="00861533" w:rsidP="00D07F51">
      <w:pPr>
        <w:spacing w:after="0" w:line="240" w:lineRule="auto"/>
        <w:rPr>
          <w:noProof/>
          <w:color w:val="767171" w:themeColor="background2" w:themeShade="80"/>
          <w:sz w:val="16"/>
          <w:szCs w:val="16"/>
        </w:rPr>
      </w:pPr>
    </w:p>
    <w:p w:rsidR="00D07F51" w:rsidRPr="005A5227" w:rsidRDefault="00861533" w:rsidP="00D07F51">
      <w:pPr>
        <w:spacing w:after="0" w:line="240" w:lineRule="auto"/>
        <w:rPr>
          <w:rFonts w:asciiTheme="majorHAnsi" w:hAnsiTheme="majorHAnsi" w:cstheme="majorHAnsi"/>
          <w:color w:val="767171" w:themeColor="background2" w:themeShade="80"/>
          <w:sz w:val="16"/>
          <w:szCs w:val="16"/>
        </w:rPr>
      </w:pPr>
      <w:r w:rsidRPr="005A5227">
        <w:rPr>
          <w:rFonts w:asciiTheme="majorHAnsi" w:hAnsiTheme="majorHAnsi" w:cstheme="majorHAnsi"/>
          <w:color w:val="767171" w:themeColor="background2" w:themeShade="80"/>
          <w:sz w:val="16"/>
          <w:szCs w:val="16"/>
        </w:rPr>
        <w:t>1</w:t>
      </w:r>
      <w:r w:rsidRPr="005A5227">
        <w:rPr>
          <w:rFonts w:asciiTheme="majorHAnsi" w:hAnsiTheme="majorHAnsi" w:cstheme="majorHAnsi"/>
          <w:color w:val="767171" w:themeColor="background2" w:themeShade="80"/>
          <w:sz w:val="16"/>
          <w:szCs w:val="16"/>
        </w:rPr>
        <w:t>0</w:t>
      </w:r>
      <w:r w:rsidRPr="005A5227">
        <w:rPr>
          <w:rFonts w:asciiTheme="majorHAnsi" w:hAnsiTheme="majorHAnsi" w:cstheme="majorHAnsi"/>
          <w:color w:val="767171" w:themeColor="background2" w:themeShade="80"/>
          <w:sz w:val="16"/>
          <w:szCs w:val="16"/>
        </w:rPr>
        <w:t xml:space="preserve"> - marketwatch.com/investing/index/dxy/historical [4/30/19] </w:t>
      </w:r>
    </w:p>
    <w:p w:rsidR="00D07F51" w:rsidRPr="005A5227" w:rsidRDefault="00861533" w:rsidP="00D07F51">
      <w:pPr>
        <w:spacing w:after="0" w:line="240" w:lineRule="auto"/>
        <w:rPr>
          <w:rFonts w:asciiTheme="majorHAnsi" w:hAnsiTheme="majorHAnsi" w:cstheme="majorHAnsi"/>
          <w:color w:val="767171" w:themeColor="background2" w:themeShade="80"/>
          <w:sz w:val="16"/>
          <w:szCs w:val="16"/>
        </w:rPr>
      </w:pPr>
    </w:p>
    <w:p w:rsidR="0018730B" w:rsidRPr="005A5227" w:rsidRDefault="00861533" w:rsidP="00D07F51">
      <w:pPr>
        <w:spacing w:after="0" w:line="240" w:lineRule="auto"/>
        <w:rPr>
          <w:rFonts w:asciiTheme="majorHAnsi" w:hAnsiTheme="majorHAnsi" w:cstheme="majorHAnsi"/>
          <w:color w:val="767171" w:themeColor="background2" w:themeShade="80"/>
          <w:sz w:val="16"/>
          <w:szCs w:val="16"/>
        </w:rPr>
      </w:pPr>
      <w:r w:rsidRPr="005A5227">
        <w:rPr>
          <w:rFonts w:asciiTheme="majorHAnsi" w:hAnsiTheme="majorHAnsi" w:cstheme="majorHAnsi"/>
          <w:color w:val="767171" w:themeColor="background2" w:themeShade="80"/>
          <w:sz w:val="16"/>
          <w:szCs w:val="16"/>
        </w:rPr>
        <w:t xml:space="preserve">11 - </w:t>
      </w:r>
      <w:r w:rsidRPr="005A5227">
        <w:rPr>
          <w:rFonts w:asciiTheme="majorHAnsi" w:hAnsiTheme="majorHAnsi" w:cstheme="majorHAnsi"/>
          <w:color w:val="767171" w:themeColor="background2" w:themeShade="80"/>
          <w:sz w:val="16"/>
          <w:szCs w:val="16"/>
        </w:rPr>
        <w:t>consumeraffairs.com/news/new-home-sales-surge-in-march-while-existing-home-sales-decline-042419.html [4/24/19]</w:t>
      </w:r>
    </w:p>
    <w:p w:rsidR="0018730B" w:rsidRPr="005A5227" w:rsidRDefault="00861533" w:rsidP="00D07F51">
      <w:pPr>
        <w:spacing w:after="0" w:line="240" w:lineRule="auto"/>
        <w:rPr>
          <w:rFonts w:asciiTheme="majorHAnsi" w:hAnsiTheme="majorHAnsi" w:cstheme="majorHAnsi"/>
          <w:color w:val="767171" w:themeColor="background2" w:themeShade="80"/>
          <w:sz w:val="16"/>
          <w:szCs w:val="16"/>
        </w:rPr>
      </w:pPr>
    </w:p>
    <w:p w:rsidR="0018730B" w:rsidRPr="005A5227" w:rsidRDefault="00861533" w:rsidP="0018730B">
      <w:pPr>
        <w:spacing w:after="0" w:line="240" w:lineRule="auto"/>
        <w:rPr>
          <w:rFonts w:asciiTheme="majorHAnsi" w:hAnsiTheme="majorHAnsi" w:cs="Calibri"/>
          <w:color w:val="767171" w:themeColor="background2" w:themeShade="80"/>
          <w:sz w:val="16"/>
          <w:szCs w:val="16"/>
        </w:rPr>
      </w:pPr>
      <w:r w:rsidRPr="005A5227">
        <w:rPr>
          <w:rFonts w:asciiTheme="majorHAnsi" w:hAnsiTheme="majorHAnsi" w:cstheme="majorHAnsi"/>
          <w:color w:val="767171" w:themeColor="background2" w:themeShade="80"/>
          <w:sz w:val="16"/>
          <w:szCs w:val="16"/>
        </w:rPr>
        <w:t>12 - freddiemac.com/pmms/archive.html [4/30/19]</w:t>
      </w:r>
      <w:r w:rsidRPr="005A5227">
        <w:rPr>
          <w:noProof/>
          <w:color w:val="767171" w:themeColor="background2" w:themeShade="80"/>
          <w:sz w:val="16"/>
          <w:szCs w:val="16"/>
        </w:rPr>
        <w:t xml:space="preserve"> </w:t>
      </w:r>
    </w:p>
    <w:p w:rsidR="0018730B" w:rsidRPr="005A5227" w:rsidRDefault="00861533" w:rsidP="00D07F51">
      <w:pPr>
        <w:spacing w:after="0" w:line="240" w:lineRule="auto"/>
        <w:rPr>
          <w:rFonts w:asciiTheme="majorHAnsi" w:hAnsiTheme="majorHAnsi" w:cstheme="majorHAnsi"/>
          <w:color w:val="767171" w:themeColor="background2" w:themeShade="80"/>
          <w:sz w:val="16"/>
          <w:szCs w:val="16"/>
        </w:rPr>
      </w:pPr>
    </w:p>
    <w:p w:rsidR="00D07F51" w:rsidRPr="005A5227" w:rsidRDefault="00861533" w:rsidP="00D07F51">
      <w:pPr>
        <w:spacing w:after="0" w:line="240" w:lineRule="auto"/>
        <w:rPr>
          <w:rFonts w:asciiTheme="majorHAnsi" w:hAnsiTheme="majorHAnsi" w:cstheme="majorHAnsi"/>
          <w:color w:val="767171" w:themeColor="background2" w:themeShade="80"/>
          <w:sz w:val="16"/>
          <w:szCs w:val="16"/>
        </w:rPr>
      </w:pPr>
      <w:r w:rsidRPr="005A5227">
        <w:rPr>
          <w:rFonts w:asciiTheme="majorHAnsi" w:hAnsiTheme="majorHAnsi" w:cstheme="majorHAnsi"/>
          <w:color w:val="767171" w:themeColor="background2" w:themeShade="80"/>
          <w:sz w:val="16"/>
          <w:szCs w:val="16"/>
        </w:rPr>
        <w:t>1</w:t>
      </w:r>
      <w:r w:rsidRPr="005A5227">
        <w:rPr>
          <w:rFonts w:asciiTheme="majorHAnsi" w:hAnsiTheme="majorHAnsi" w:cstheme="majorHAnsi"/>
          <w:color w:val="767171" w:themeColor="background2" w:themeShade="80"/>
          <w:sz w:val="16"/>
          <w:szCs w:val="16"/>
        </w:rPr>
        <w:t>3</w:t>
      </w:r>
      <w:r w:rsidRPr="005A5227">
        <w:rPr>
          <w:rFonts w:asciiTheme="majorHAnsi" w:hAnsiTheme="majorHAnsi" w:cstheme="majorHAnsi"/>
          <w:color w:val="767171" w:themeColor="background2" w:themeShade="80"/>
          <w:sz w:val="16"/>
          <w:szCs w:val="16"/>
        </w:rPr>
        <w:t xml:space="preserve"> - </w:t>
      </w:r>
      <w:r w:rsidRPr="005A5227">
        <w:rPr>
          <w:rFonts w:asciiTheme="majorHAnsi" w:hAnsiTheme="majorHAnsi" w:cstheme="majorHAnsi"/>
          <w:color w:val="767171" w:themeColor="background2" w:themeShade="80"/>
          <w:sz w:val="16"/>
          <w:szCs w:val="16"/>
        </w:rPr>
        <w:t xml:space="preserve">marketwatch.com/story/stock-index-futures-edge-lower-as-investors-await-earnings-deluge-fed-meeting-2019-04-29 </w:t>
      </w:r>
      <w:r w:rsidRPr="005A5227">
        <w:rPr>
          <w:rFonts w:asciiTheme="majorHAnsi" w:hAnsiTheme="majorHAnsi" w:cstheme="majorHAnsi"/>
          <w:color w:val="767171" w:themeColor="background2" w:themeShade="80"/>
          <w:sz w:val="16"/>
          <w:szCs w:val="16"/>
        </w:rPr>
        <w:t>[</w:t>
      </w:r>
      <w:r w:rsidRPr="005A5227">
        <w:rPr>
          <w:rFonts w:asciiTheme="majorHAnsi" w:hAnsiTheme="majorHAnsi" w:cstheme="majorHAnsi"/>
          <w:color w:val="767171" w:themeColor="background2" w:themeShade="80"/>
          <w:sz w:val="16"/>
          <w:szCs w:val="16"/>
        </w:rPr>
        <w:t>4</w:t>
      </w:r>
      <w:r w:rsidRPr="005A5227">
        <w:rPr>
          <w:rFonts w:asciiTheme="majorHAnsi" w:hAnsiTheme="majorHAnsi" w:cstheme="majorHAnsi"/>
          <w:color w:val="767171" w:themeColor="background2" w:themeShade="80"/>
          <w:sz w:val="16"/>
          <w:szCs w:val="16"/>
        </w:rPr>
        <w:t>/2</w:t>
      </w:r>
      <w:r w:rsidRPr="005A5227">
        <w:rPr>
          <w:rFonts w:asciiTheme="majorHAnsi" w:hAnsiTheme="majorHAnsi" w:cstheme="majorHAnsi"/>
          <w:color w:val="767171" w:themeColor="background2" w:themeShade="80"/>
          <w:sz w:val="16"/>
          <w:szCs w:val="16"/>
        </w:rPr>
        <w:t>9</w:t>
      </w:r>
      <w:r w:rsidRPr="005A5227">
        <w:rPr>
          <w:rFonts w:asciiTheme="majorHAnsi" w:hAnsiTheme="majorHAnsi" w:cstheme="majorHAnsi"/>
          <w:color w:val="767171" w:themeColor="background2" w:themeShade="80"/>
          <w:sz w:val="16"/>
          <w:szCs w:val="16"/>
        </w:rPr>
        <w:t>/19]</w:t>
      </w:r>
    </w:p>
    <w:p w:rsidR="00D07F51" w:rsidRPr="005A5227" w:rsidRDefault="00861533" w:rsidP="00D07F51">
      <w:pPr>
        <w:spacing w:after="0" w:line="240" w:lineRule="auto"/>
        <w:rPr>
          <w:rFonts w:asciiTheme="majorHAnsi" w:hAnsiTheme="majorHAnsi" w:cstheme="majorHAnsi"/>
          <w:color w:val="767171" w:themeColor="background2" w:themeShade="80"/>
          <w:sz w:val="16"/>
          <w:szCs w:val="16"/>
        </w:rPr>
      </w:pPr>
      <w:r w:rsidRPr="005A5227">
        <w:rPr>
          <w:noProof/>
          <w:color w:val="767171" w:themeColor="background2" w:themeShade="80"/>
        </w:rPr>
        <w:t xml:space="preserve">   </w:t>
      </w:r>
    </w:p>
    <w:p w:rsidR="00D07F51" w:rsidRPr="005A5227" w:rsidRDefault="00861533" w:rsidP="004E5D15">
      <w:pPr>
        <w:rPr>
          <w:rFonts w:asciiTheme="majorHAnsi" w:hAnsiTheme="majorHAnsi" w:cstheme="majorHAnsi"/>
          <w:color w:val="767171" w:themeColor="background2" w:themeShade="80"/>
          <w:sz w:val="16"/>
          <w:szCs w:val="16"/>
        </w:rPr>
      </w:pPr>
      <w:r w:rsidRPr="005A5227">
        <w:rPr>
          <w:rFonts w:asciiTheme="majorHAnsi" w:hAnsiTheme="majorHAnsi" w:cstheme="majorHAnsi"/>
          <w:color w:val="767171" w:themeColor="background2" w:themeShade="80"/>
          <w:sz w:val="16"/>
          <w:szCs w:val="16"/>
        </w:rPr>
        <w:t>14 - barchart.com/stocks/indices?viewName=performance [4/30/19]</w:t>
      </w:r>
      <w:r w:rsidRPr="005A5227">
        <w:rPr>
          <w:noProof/>
          <w:color w:val="767171" w:themeColor="background2" w:themeShade="80"/>
        </w:rPr>
        <w:t xml:space="preserve"> </w:t>
      </w:r>
    </w:p>
    <w:p w:rsidR="00D07F51" w:rsidRPr="005A5227" w:rsidRDefault="00861533" w:rsidP="00D07F51">
      <w:pPr>
        <w:spacing w:after="0" w:line="240" w:lineRule="auto"/>
        <w:rPr>
          <w:rFonts w:asciiTheme="majorHAnsi" w:hAnsiTheme="majorHAnsi" w:cstheme="majorHAnsi"/>
          <w:color w:val="767171" w:themeColor="background2" w:themeShade="80"/>
          <w:sz w:val="16"/>
          <w:szCs w:val="16"/>
        </w:rPr>
      </w:pPr>
      <w:r w:rsidRPr="005A5227">
        <w:rPr>
          <w:rFonts w:asciiTheme="majorHAnsi" w:hAnsiTheme="majorHAnsi" w:cstheme="majorHAnsi"/>
          <w:color w:val="767171" w:themeColor="background2" w:themeShade="80"/>
          <w:sz w:val="16"/>
          <w:szCs w:val="16"/>
        </w:rPr>
        <w:t>1</w:t>
      </w:r>
      <w:r w:rsidRPr="005A5227">
        <w:rPr>
          <w:rFonts w:asciiTheme="majorHAnsi" w:hAnsiTheme="majorHAnsi" w:cstheme="majorHAnsi"/>
          <w:color w:val="767171" w:themeColor="background2" w:themeShade="80"/>
          <w:sz w:val="16"/>
          <w:szCs w:val="16"/>
        </w:rPr>
        <w:t>5</w:t>
      </w:r>
      <w:r w:rsidRPr="005A5227">
        <w:rPr>
          <w:rFonts w:asciiTheme="majorHAnsi" w:hAnsiTheme="majorHAnsi" w:cstheme="majorHAnsi"/>
          <w:color w:val="767171" w:themeColor="background2" w:themeShade="80"/>
          <w:sz w:val="16"/>
          <w:szCs w:val="16"/>
        </w:rPr>
        <w:t xml:space="preserve"> - markets.wsj.com/us [12/31/18]</w:t>
      </w:r>
      <w:r w:rsidRPr="005A5227">
        <w:rPr>
          <w:noProof/>
          <w:color w:val="767171" w:themeColor="background2" w:themeShade="80"/>
        </w:rPr>
        <w:t xml:space="preserve">  </w:t>
      </w:r>
      <w:bookmarkStart w:id="6" w:name="_Hlk533682436"/>
    </w:p>
    <w:p w:rsidR="00D07F51" w:rsidRPr="005A5227" w:rsidRDefault="00861533" w:rsidP="00D07F51">
      <w:pPr>
        <w:spacing w:after="0" w:line="240" w:lineRule="auto"/>
        <w:rPr>
          <w:rFonts w:asciiTheme="majorHAnsi" w:hAnsiTheme="majorHAnsi" w:cstheme="majorHAnsi"/>
          <w:color w:val="767171" w:themeColor="background2" w:themeShade="80"/>
          <w:sz w:val="16"/>
          <w:szCs w:val="16"/>
        </w:rPr>
      </w:pPr>
    </w:p>
    <w:p w:rsidR="00D07F51" w:rsidRPr="005A5227" w:rsidRDefault="00861533" w:rsidP="00D07F51">
      <w:pPr>
        <w:spacing w:after="0" w:line="240" w:lineRule="auto"/>
        <w:rPr>
          <w:rStyle w:val="st"/>
          <w:rFonts w:asciiTheme="majorHAnsi" w:hAnsiTheme="majorHAnsi" w:cstheme="majorHAnsi"/>
          <w:color w:val="767171" w:themeColor="background2" w:themeShade="80"/>
          <w:sz w:val="16"/>
          <w:szCs w:val="16"/>
        </w:rPr>
      </w:pPr>
      <w:r w:rsidRPr="005A5227">
        <w:rPr>
          <w:rFonts w:asciiTheme="majorHAnsi" w:hAnsiTheme="majorHAnsi" w:cstheme="majorHAnsi"/>
          <w:color w:val="767171" w:themeColor="background2" w:themeShade="80"/>
          <w:sz w:val="16"/>
          <w:szCs w:val="16"/>
        </w:rPr>
        <w:t>1</w:t>
      </w:r>
      <w:r w:rsidRPr="005A5227">
        <w:rPr>
          <w:rFonts w:asciiTheme="majorHAnsi" w:hAnsiTheme="majorHAnsi" w:cstheme="majorHAnsi"/>
          <w:color w:val="767171" w:themeColor="background2" w:themeShade="80"/>
          <w:sz w:val="16"/>
          <w:szCs w:val="16"/>
        </w:rPr>
        <w:t>6</w:t>
      </w:r>
      <w:r w:rsidRPr="005A5227">
        <w:rPr>
          <w:rFonts w:asciiTheme="majorHAnsi" w:hAnsiTheme="majorHAnsi" w:cstheme="majorHAnsi"/>
          <w:color w:val="767171" w:themeColor="background2" w:themeShade="80"/>
          <w:sz w:val="16"/>
          <w:szCs w:val="16"/>
        </w:rPr>
        <w:t xml:space="preserve"> - treasury.gov/resource-c</w:t>
      </w:r>
      <w:r w:rsidRPr="005A5227">
        <w:rPr>
          <w:rFonts w:asciiTheme="majorHAnsi" w:hAnsiTheme="majorHAnsi" w:cstheme="majorHAnsi"/>
          <w:color w:val="767171" w:themeColor="background2" w:themeShade="80"/>
          <w:sz w:val="16"/>
          <w:szCs w:val="16"/>
        </w:rPr>
        <w:t>enter/data-chart-center/interest-rates/Pages/TextView.aspx?data=yieldAll [4/30/19]</w:t>
      </w:r>
    </w:p>
    <w:bookmarkEnd w:id="6"/>
    <w:p w:rsidR="008E168C" w:rsidRPr="005A5227" w:rsidRDefault="00861533" w:rsidP="00D07F51">
      <w:pPr>
        <w:spacing w:after="0" w:line="240" w:lineRule="auto"/>
        <w:rPr>
          <w:rFonts w:asciiTheme="majorHAnsi" w:hAnsiTheme="majorHAnsi" w:cstheme="majorHAnsi"/>
          <w:color w:val="767171" w:themeColor="background2" w:themeShade="80"/>
          <w:sz w:val="16"/>
          <w:szCs w:val="16"/>
        </w:rPr>
      </w:pPr>
    </w:p>
    <w:sectPr w:rsidR="008E168C" w:rsidRPr="005A5227" w:rsidSect="002B3955">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64EF1"/>
    <w:multiLevelType w:val="hybridMultilevel"/>
    <w:tmpl w:val="52807AE8"/>
    <w:lvl w:ilvl="0" w:tplc="3CDC241E">
      <w:start w:val="1"/>
      <w:numFmt w:val="bullet"/>
      <w:lvlText w:val=""/>
      <w:lvlJc w:val="left"/>
      <w:pPr>
        <w:ind w:left="720" w:hanging="360"/>
      </w:pPr>
      <w:rPr>
        <w:rFonts w:ascii="Symbol" w:hAnsi="Symbol" w:hint="default"/>
      </w:rPr>
    </w:lvl>
    <w:lvl w:ilvl="1" w:tplc="F55C9648" w:tentative="1">
      <w:start w:val="1"/>
      <w:numFmt w:val="bullet"/>
      <w:lvlText w:val="o"/>
      <w:lvlJc w:val="left"/>
      <w:pPr>
        <w:ind w:left="1440" w:hanging="360"/>
      </w:pPr>
      <w:rPr>
        <w:rFonts w:ascii="Courier New" w:hAnsi="Courier New" w:cs="Courier New" w:hint="default"/>
      </w:rPr>
    </w:lvl>
    <w:lvl w:ilvl="2" w:tplc="B176AD40" w:tentative="1">
      <w:start w:val="1"/>
      <w:numFmt w:val="bullet"/>
      <w:lvlText w:val=""/>
      <w:lvlJc w:val="left"/>
      <w:pPr>
        <w:ind w:left="2160" w:hanging="360"/>
      </w:pPr>
      <w:rPr>
        <w:rFonts w:ascii="Wingdings" w:hAnsi="Wingdings" w:hint="default"/>
      </w:rPr>
    </w:lvl>
    <w:lvl w:ilvl="3" w:tplc="ECA2BB6A" w:tentative="1">
      <w:start w:val="1"/>
      <w:numFmt w:val="bullet"/>
      <w:lvlText w:val=""/>
      <w:lvlJc w:val="left"/>
      <w:pPr>
        <w:ind w:left="2880" w:hanging="360"/>
      </w:pPr>
      <w:rPr>
        <w:rFonts w:ascii="Symbol" w:hAnsi="Symbol" w:hint="default"/>
      </w:rPr>
    </w:lvl>
    <w:lvl w:ilvl="4" w:tplc="843444C2" w:tentative="1">
      <w:start w:val="1"/>
      <w:numFmt w:val="bullet"/>
      <w:lvlText w:val="o"/>
      <w:lvlJc w:val="left"/>
      <w:pPr>
        <w:ind w:left="3600" w:hanging="360"/>
      </w:pPr>
      <w:rPr>
        <w:rFonts w:ascii="Courier New" w:hAnsi="Courier New" w:cs="Courier New" w:hint="default"/>
      </w:rPr>
    </w:lvl>
    <w:lvl w:ilvl="5" w:tplc="546E50DE" w:tentative="1">
      <w:start w:val="1"/>
      <w:numFmt w:val="bullet"/>
      <w:lvlText w:val=""/>
      <w:lvlJc w:val="left"/>
      <w:pPr>
        <w:ind w:left="4320" w:hanging="360"/>
      </w:pPr>
      <w:rPr>
        <w:rFonts w:ascii="Wingdings" w:hAnsi="Wingdings" w:hint="default"/>
      </w:rPr>
    </w:lvl>
    <w:lvl w:ilvl="6" w:tplc="ACB29EC4" w:tentative="1">
      <w:start w:val="1"/>
      <w:numFmt w:val="bullet"/>
      <w:lvlText w:val=""/>
      <w:lvlJc w:val="left"/>
      <w:pPr>
        <w:ind w:left="5040" w:hanging="360"/>
      </w:pPr>
      <w:rPr>
        <w:rFonts w:ascii="Symbol" w:hAnsi="Symbol" w:hint="default"/>
      </w:rPr>
    </w:lvl>
    <w:lvl w:ilvl="7" w:tplc="32CE6FB4" w:tentative="1">
      <w:start w:val="1"/>
      <w:numFmt w:val="bullet"/>
      <w:lvlText w:val="o"/>
      <w:lvlJc w:val="left"/>
      <w:pPr>
        <w:ind w:left="5760" w:hanging="360"/>
      </w:pPr>
      <w:rPr>
        <w:rFonts w:ascii="Courier New" w:hAnsi="Courier New" w:cs="Courier New" w:hint="default"/>
      </w:rPr>
    </w:lvl>
    <w:lvl w:ilvl="8" w:tplc="BF7C774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94B"/>
    <w:rsid w:val="006D094B"/>
    <w:rsid w:val="00861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89B6D"/>
  <w15:docId w15:val="{39478262-80F2-44E0-B296-D45D24D1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PlainText">
    <w:name w:val="Plain Text"/>
    <w:basedOn w:val="Normal"/>
    <w:link w:val="PlainTextChar"/>
    <w:uiPriority w:val="99"/>
    <w:unhideWhenUsed/>
    <w:rsid w:val="00775662"/>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775662"/>
    <w:rPr>
      <w:rFonts w:ascii="Consolas" w:eastAsia="Calibri" w:hAnsi="Consolas" w:cs="Consolas"/>
      <w:sz w:val="21"/>
      <w:szCs w:val="21"/>
    </w:rPr>
  </w:style>
  <w:style w:type="paragraph" w:styleId="BalloonText">
    <w:name w:val="Balloon Text"/>
    <w:basedOn w:val="Normal"/>
    <w:link w:val="BalloonTextChar"/>
    <w:uiPriority w:val="99"/>
    <w:semiHidden/>
    <w:unhideWhenUsed/>
    <w:rsid w:val="001F1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964"/>
    <w:rPr>
      <w:rFonts w:ascii="Segoe UI" w:hAnsi="Segoe UI" w:cs="Segoe UI"/>
      <w:sz w:val="18"/>
      <w:szCs w:val="18"/>
    </w:rPr>
  </w:style>
  <w:style w:type="character" w:styleId="Hyperlink">
    <w:name w:val="Hyperlink"/>
    <w:basedOn w:val="DefaultParagraphFont"/>
    <w:uiPriority w:val="99"/>
    <w:unhideWhenUsed/>
    <w:rsid w:val="0018730B"/>
    <w:rPr>
      <w:color w:val="0563C1" w:themeColor="hyperlink"/>
      <w:u w:val="single"/>
    </w:rPr>
  </w:style>
  <w:style w:type="character" w:customStyle="1" w:styleId="UnresolvedMention1">
    <w:name w:val="Unresolved Mention1"/>
    <w:basedOn w:val="DefaultParagraphFont"/>
    <w:uiPriority w:val="99"/>
    <w:semiHidden/>
    <w:unhideWhenUsed/>
    <w:rsid w:val="0018730B"/>
    <w:rPr>
      <w:color w:val="605E5C"/>
      <w:shd w:val="clear" w:color="auto" w:fill="E1DFDD"/>
    </w:rPr>
  </w:style>
  <w:style w:type="paragraph" w:customStyle="1" w:styleId="BasicParagraph">
    <w:name w:val="[Basic Paragraph]"/>
    <w:basedOn w:val="Normal"/>
    <w:uiPriority w:val="99"/>
    <w:rsid w:val="00861533"/>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F624B-EED6-4DA6-BF37-B66BA6BED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2469</Words>
  <Characters>14078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Larry Krone</cp:lastModifiedBy>
  <cp:revision>2</cp:revision>
  <dcterms:created xsi:type="dcterms:W3CDTF">2019-05-07T15:58:00Z</dcterms:created>
  <dcterms:modified xsi:type="dcterms:W3CDTF">2019-05-07T15:58:00Z</dcterms:modified>
</cp:coreProperties>
</file>