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49FF" w14:textId="77777777" w:rsidR="005A4FD6" w:rsidRPr="007103DF" w:rsidRDefault="001D763D"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stock indexes rise, Jerome Powell reports on monetary policy to Congress, inflation hits a 15-month peak, and new data on retail sales and consumer sentiment appears</w:t>
      </w:r>
      <w:r w:rsidRPr="007103DF">
        <w:rPr>
          <w:rFonts w:asciiTheme="majorHAnsi" w:hAnsiTheme="majorHAnsi" w:cs="Times New Roman"/>
          <w:i/>
          <w:sz w:val="28"/>
          <w:szCs w:val="24"/>
        </w:rPr>
        <w:t>.</w:t>
      </w:r>
    </w:p>
    <w:p w14:paraId="5F3D812B" w14:textId="77777777" w:rsidR="005A4FD6" w:rsidRPr="00A56786" w:rsidRDefault="001D763D"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14:paraId="55913E0A" w14:textId="77777777" w:rsidR="005A4FD6" w:rsidRDefault="001D763D"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14:anchorId="64C3DA36" wp14:editId="48972554">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4005E34B" w14:textId="77777777" w:rsidR="005A4FD6" w:rsidRPr="0043614C" w:rsidRDefault="001D763D" w:rsidP="005A4FD6">
      <w:pPr>
        <w:spacing w:before="160" w:line="276" w:lineRule="auto"/>
        <w:jc w:val="center"/>
        <w:rPr>
          <w:rFonts w:asciiTheme="majorHAnsi" w:hAnsiTheme="majorHAnsi" w:cs="Times New Roman"/>
          <w:color w:val="808080" w:themeColor="background1" w:themeShade="80"/>
          <w:sz w:val="2"/>
          <w:szCs w:val="24"/>
        </w:rPr>
      </w:pPr>
    </w:p>
    <w:p w14:paraId="3CED9009" w14:textId="77777777" w:rsidR="005A4FD6" w:rsidRPr="001162D1" w:rsidRDefault="001D763D" w:rsidP="005A4FD6">
      <w:pPr>
        <w:spacing w:before="160" w:line="276" w:lineRule="auto"/>
        <w:jc w:val="center"/>
        <w:rPr>
          <w:rFonts w:asciiTheme="majorHAnsi" w:hAnsiTheme="majorHAnsi" w:cs="Times New Roman"/>
          <w:i/>
          <w:color w:val="646464"/>
          <w:sz w:val="24"/>
          <w:szCs w:val="24"/>
        </w:rPr>
      </w:pPr>
      <w:r>
        <w:rPr>
          <w:rFonts w:asciiTheme="majorHAnsi" w:hAnsiTheme="majorHAnsi" w:cs="Times New Roman"/>
          <w:i/>
          <w:color w:val="646464"/>
          <w:sz w:val="24"/>
          <w:szCs w:val="24"/>
        </w:rPr>
        <w:t xml:space="preserve">February </w:t>
      </w:r>
      <w:r>
        <w:rPr>
          <w:rFonts w:asciiTheme="majorHAnsi" w:hAnsiTheme="majorHAnsi" w:cs="Times New Roman"/>
          <w:i/>
          <w:color w:val="646464"/>
          <w:sz w:val="24"/>
          <w:szCs w:val="24"/>
        </w:rPr>
        <w:t>17</w:t>
      </w:r>
      <w:r>
        <w:rPr>
          <w:rFonts w:asciiTheme="majorHAnsi" w:hAnsiTheme="majorHAnsi" w:cs="Times New Roman"/>
          <w:i/>
          <w:color w:val="646464"/>
          <w:sz w:val="24"/>
          <w:szCs w:val="24"/>
        </w:rPr>
        <w:t>, 2020</w:t>
      </w:r>
    </w:p>
    <w:p w14:paraId="00BB704E" w14:textId="77777777" w:rsidR="005A4FD6" w:rsidRPr="0043614C" w:rsidRDefault="001D763D" w:rsidP="005A4FD6">
      <w:pPr>
        <w:spacing w:before="160" w:line="276" w:lineRule="auto"/>
        <w:jc w:val="center"/>
        <w:rPr>
          <w:rFonts w:asciiTheme="majorHAnsi" w:hAnsiTheme="majorHAnsi" w:cs="Times New Roman"/>
          <w:color w:val="000000" w:themeColor="text1"/>
          <w:sz w:val="4"/>
          <w:szCs w:val="24"/>
        </w:rPr>
      </w:pPr>
    </w:p>
    <w:p w14:paraId="31D01B4E" w14:textId="77777777" w:rsidR="005A4FD6" w:rsidRDefault="001D763D"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14:paraId="17B4574E" w14:textId="77777777" w:rsidR="00B2039B" w:rsidRPr="00B2039B" w:rsidRDefault="001D763D" w:rsidP="00B2039B">
      <w:pPr>
        <w:spacing w:line="276" w:lineRule="auto"/>
        <w:jc w:val="both"/>
        <w:rPr>
          <w:rStyle w:val="st"/>
          <w:rFonts w:asciiTheme="majorHAnsi" w:hAnsiTheme="majorHAnsi"/>
          <w:sz w:val="24"/>
        </w:rPr>
      </w:pPr>
      <w:r w:rsidRPr="00B2039B">
        <w:rPr>
          <w:rStyle w:val="st"/>
          <w:rFonts w:asciiTheme="majorHAnsi" w:hAnsiTheme="majorHAnsi"/>
          <w:sz w:val="24"/>
        </w:rPr>
        <w:t xml:space="preserve">Daily headlines about the coronavirus had little impact on stock market averages last week. Earnings and mergers had more </w:t>
      </w:r>
      <w:r w:rsidRPr="00B2039B">
        <w:rPr>
          <w:rStyle w:val="st"/>
          <w:rFonts w:asciiTheme="majorHAnsi" w:hAnsiTheme="majorHAnsi"/>
          <w:sz w:val="24"/>
        </w:rPr>
        <w:t>influence.</w:t>
      </w:r>
    </w:p>
    <w:p w14:paraId="7C8613C0" w14:textId="77777777" w:rsidR="005A4FD6" w:rsidRPr="0043614C" w:rsidRDefault="001D763D" w:rsidP="00B2039B">
      <w:pPr>
        <w:spacing w:line="276" w:lineRule="auto"/>
        <w:jc w:val="both"/>
        <w:rPr>
          <w:rStyle w:val="st"/>
          <w:rFonts w:asciiTheme="majorHAnsi" w:hAnsiTheme="majorHAnsi"/>
          <w:sz w:val="6"/>
        </w:rPr>
      </w:pPr>
      <w:r w:rsidRPr="00B2039B">
        <w:rPr>
          <w:rStyle w:val="st"/>
          <w:rFonts w:asciiTheme="majorHAnsi" w:hAnsiTheme="majorHAnsi"/>
          <w:sz w:val="24"/>
        </w:rPr>
        <w:t>All three Wall Street benchmarks improved. The Nasdaq Composite rose 2.21%, outpacing the S&amp;P 500, up 1.58%, and the Dow Jones Industrial Average, up 1.02%. The MSCI EAFE index, which tracks developed overseas equity markets, added 0.17%</w:t>
      </w:r>
      <w:r w:rsidRPr="00CC4655">
        <w:rPr>
          <w:rStyle w:val="st"/>
          <w:rFonts w:asciiTheme="majorHAnsi" w:hAnsiTheme="majorHAnsi"/>
          <w:sz w:val="24"/>
        </w:rPr>
        <w:t>.</w:t>
      </w:r>
      <w:r w:rsidRPr="00CC4655">
        <w:rPr>
          <w:rStyle w:val="st"/>
          <w:rFonts w:asciiTheme="majorHAnsi" w:hAnsiTheme="majorHAnsi"/>
          <w:sz w:val="24"/>
          <w:vertAlign w:val="superscript"/>
        </w:rPr>
        <w:t>1,2</w:t>
      </w:r>
    </w:p>
    <w:p w14:paraId="3EB0AF17" w14:textId="77777777" w:rsidR="00CC4655" w:rsidRPr="0043614C" w:rsidRDefault="001D763D" w:rsidP="00CC4655">
      <w:pPr>
        <w:spacing w:line="276" w:lineRule="auto"/>
        <w:jc w:val="both"/>
        <w:rPr>
          <w:rStyle w:val="st"/>
          <w:rFonts w:asciiTheme="majorHAnsi" w:hAnsiTheme="majorHAnsi"/>
          <w:sz w:val="8"/>
        </w:rPr>
      </w:pPr>
    </w:p>
    <w:p w14:paraId="1B39CAAB" w14:textId="77777777" w:rsidR="005A4FD6" w:rsidRPr="00E24345" w:rsidRDefault="001D763D" w:rsidP="005A4FD6">
      <w:pPr>
        <w:spacing w:line="276" w:lineRule="auto"/>
        <w:jc w:val="both"/>
        <w:rPr>
          <w:rFonts w:asciiTheme="majorHAnsi" w:hAnsiTheme="majorHAnsi"/>
          <w:b/>
          <w:caps/>
          <w:color w:val="E88E0A"/>
          <w:sz w:val="28"/>
        </w:rPr>
      </w:pPr>
      <w:r w:rsidRPr="00B2039B">
        <w:rPr>
          <w:rFonts w:asciiTheme="majorHAnsi" w:hAnsiTheme="majorHAnsi"/>
          <w:b/>
          <w:caps/>
          <w:color w:val="E88E0A"/>
          <w:sz w:val="28"/>
        </w:rPr>
        <w:t>Jerome Powell Testifies on Capitol Hill</w:t>
      </w:r>
    </w:p>
    <w:p w14:paraId="1320B646" w14:textId="77777777" w:rsidR="00B2039B" w:rsidRPr="00B2039B" w:rsidRDefault="001D763D" w:rsidP="00B2039B">
      <w:pPr>
        <w:spacing w:line="276" w:lineRule="auto"/>
        <w:jc w:val="both"/>
        <w:rPr>
          <w:rStyle w:val="st"/>
          <w:rFonts w:asciiTheme="majorHAnsi" w:hAnsiTheme="majorHAnsi"/>
          <w:sz w:val="24"/>
        </w:rPr>
      </w:pPr>
      <w:r w:rsidRPr="00B2039B">
        <w:rPr>
          <w:rStyle w:val="st"/>
          <w:rFonts w:asciiTheme="majorHAnsi" w:hAnsiTheme="majorHAnsi"/>
          <w:sz w:val="24"/>
        </w:rPr>
        <w:t xml:space="preserve">Commenting that the economy is in a “very good place,” Federal Reserve Chairman Jerome Powell told congressional legislators that he did not currently see a significant recession risk. </w:t>
      </w:r>
    </w:p>
    <w:p w14:paraId="68FD5F16" w14:textId="77777777" w:rsidR="005A4FD6" w:rsidRPr="00ED56E3" w:rsidRDefault="001D763D" w:rsidP="00B2039B">
      <w:pPr>
        <w:spacing w:line="276" w:lineRule="auto"/>
        <w:jc w:val="both"/>
        <w:rPr>
          <w:rStyle w:val="st"/>
          <w:rFonts w:asciiTheme="majorHAnsi" w:hAnsiTheme="majorHAnsi"/>
          <w:sz w:val="24"/>
          <w:vertAlign w:val="superscript"/>
        </w:rPr>
      </w:pPr>
      <w:r w:rsidRPr="00B2039B">
        <w:rPr>
          <w:rStyle w:val="st"/>
          <w:rFonts w:asciiTheme="majorHAnsi" w:hAnsiTheme="majorHAnsi"/>
          <w:sz w:val="24"/>
        </w:rPr>
        <w:t>“There’s nothing about this ex</w:t>
      </w:r>
      <w:r w:rsidRPr="00B2039B">
        <w:rPr>
          <w:rStyle w:val="st"/>
          <w:rFonts w:asciiTheme="majorHAnsi" w:hAnsiTheme="majorHAnsi"/>
          <w:sz w:val="24"/>
        </w:rPr>
        <w:t>pansion that is unstable or unsustainable,” Powell remarked during his semi-annual report to the House Financial Services Committee. He did reiterate that the central bank was “carefully” watching the coronavirus outbreak, and that it could “very likely” h</w:t>
      </w:r>
      <w:r w:rsidRPr="00B2039B">
        <w:rPr>
          <w:rStyle w:val="st"/>
          <w:rFonts w:asciiTheme="majorHAnsi" w:hAnsiTheme="majorHAnsi"/>
          <w:sz w:val="24"/>
        </w:rPr>
        <w:t>ave residual economic impact on the U.S.</w:t>
      </w:r>
      <w:r w:rsidRPr="00CC4655">
        <w:rPr>
          <w:rStyle w:val="st"/>
          <w:rFonts w:asciiTheme="majorHAnsi" w:hAnsiTheme="majorHAnsi"/>
          <w:sz w:val="24"/>
          <w:vertAlign w:val="superscript"/>
        </w:rPr>
        <w:t>3</w:t>
      </w:r>
      <w:r w:rsidRPr="00ED56E3">
        <w:rPr>
          <w:rStyle w:val="st"/>
          <w:rFonts w:asciiTheme="majorHAnsi" w:hAnsiTheme="majorHAnsi"/>
          <w:sz w:val="24"/>
        </w:rPr>
        <w:t xml:space="preserve">  </w:t>
      </w:r>
    </w:p>
    <w:p w14:paraId="5B35D004" w14:textId="77777777" w:rsidR="005A4FD6" w:rsidRPr="0043614C" w:rsidRDefault="001D763D" w:rsidP="005A4FD6">
      <w:pPr>
        <w:spacing w:line="276" w:lineRule="auto"/>
        <w:jc w:val="both"/>
        <w:rPr>
          <w:rStyle w:val="st"/>
          <w:rFonts w:asciiTheme="majorHAnsi" w:hAnsiTheme="majorHAnsi"/>
          <w:sz w:val="8"/>
        </w:rPr>
      </w:pPr>
    </w:p>
    <w:p w14:paraId="3A7A216A" w14:textId="77777777" w:rsidR="005A4FD6" w:rsidRPr="00E24345" w:rsidRDefault="001D763D" w:rsidP="005A4FD6">
      <w:pPr>
        <w:spacing w:line="276" w:lineRule="auto"/>
        <w:jc w:val="both"/>
        <w:rPr>
          <w:rFonts w:asciiTheme="majorHAnsi" w:hAnsiTheme="majorHAnsi"/>
          <w:b/>
          <w:caps/>
          <w:color w:val="E88E0A"/>
          <w:sz w:val="28"/>
        </w:rPr>
      </w:pPr>
      <w:r w:rsidRPr="00B2039B">
        <w:rPr>
          <w:rFonts w:asciiTheme="majorHAnsi" w:hAnsiTheme="majorHAnsi"/>
          <w:b/>
          <w:caps/>
          <w:color w:val="E88E0A"/>
          <w:sz w:val="28"/>
        </w:rPr>
        <w:t>Yearly Inflation Reaches 2.5%</w:t>
      </w:r>
    </w:p>
    <w:p w14:paraId="7A60B1ED" w14:textId="77777777" w:rsidR="00B2039B" w:rsidRPr="00B2039B" w:rsidRDefault="001D763D" w:rsidP="00B2039B">
      <w:pPr>
        <w:spacing w:line="276" w:lineRule="auto"/>
        <w:jc w:val="both"/>
        <w:rPr>
          <w:rStyle w:val="st"/>
          <w:rFonts w:asciiTheme="majorHAnsi" w:hAnsiTheme="majorHAnsi"/>
          <w:sz w:val="24"/>
        </w:rPr>
      </w:pPr>
      <w:r w:rsidRPr="00B2039B">
        <w:rPr>
          <w:rStyle w:val="st"/>
          <w:rFonts w:asciiTheme="majorHAnsi" w:hAnsiTheme="majorHAnsi"/>
          <w:sz w:val="24"/>
        </w:rPr>
        <w:t xml:space="preserve">Consumer prices have not advanced to this degree since the 12-month period ending in October 2018. Underneath this January headline inflation number, core inflation (minus food and </w:t>
      </w:r>
      <w:r w:rsidRPr="00B2039B">
        <w:rPr>
          <w:rStyle w:val="st"/>
          <w:rFonts w:asciiTheme="majorHAnsi" w:hAnsiTheme="majorHAnsi"/>
          <w:sz w:val="24"/>
        </w:rPr>
        <w:t xml:space="preserve">energy prices, which are often volatile) was up 2.3% year-over-year. </w:t>
      </w:r>
    </w:p>
    <w:p w14:paraId="6A96C9CE" w14:textId="77777777" w:rsidR="005A4FD6" w:rsidRPr="00ED56E3" w:rsidRDefault="001D763D" w:rsidP="00B2039B">
      <w:pPr>
        <w:spacing w:line="276" w:lineRule="auto"/>
        <w:jc w:val="both"/>
        <w:rPr>
          <w:rStyle w:val="st"/>
          <w:rFonts w:asciiTheme="majorHAnsi" w:hAnsiTheme="majorHAnsi"/>
          <w:sz w:val="24"/>
        </w:rPr>
      </w:pPr>
      <w:r w:rsidRPr="00B2039B">
        <w:rPr>
          <w:rStyle w:val="st"/>
          <w:rFonts w:asciiTheme="majorHAnsi" w:hAnsiTheme="majorHAnsi"/>
          <w:sz w:val="24"/>
        </w:rPr>
        <w:t>These numbers are from the Consumer Price Index, maintained by the Bureau of Labor Statistics. The Federal Reserve monitors inflation using its core personal consumption expenditures (PC</w:t>
      </w:r>
      <w:r w:rsidRPr="00B2039B">
        <w:rPr>
          <w:rStyle w:val="st"/>
          <w:rFonts w:asciiTheme="majorHAnsi" w:hAnsiTheme="majorHAnsi"/>
          <w:sz w:val="24"/>
        </w:rPr>
        <w:t>E) index, which remains below the central bank’s 2% yearly inflation target.</w:t>
      </w:r>
      <w:r w:rsidRPr="00CC4655">
        <w:rPr>
          <w:rStyle w:val="st"/>
          <w:rFonts w:asciiTheme="majorHAnsi" w:hAnsiTheme="majorHAnsi"/>
          <w:sz w:val="24"/>
          <w:vertAlign w:val="superscript"/>
        </w:rPr>
        <w:t>4</w:t>
      </w:r>
    </w:p>
    <w:p w14:paraId="35C8D5A7" w14:textId="77777777" w:rsidR="005A4FD6" w:rsidRPr="0043614C" w:rsidRDefault="001D763D" w:rsidP="005A4FD6">
      <w:pPr>
        <w:spacing w:line="276" w:lineRule="auto"/>
        <w:jc w:val="both"/>
        <w:rPr>
          <w:rStyle w:val="st"/>
          <w:rFonts w:asciiTheme="majorHAnsi" w:hAnsiTheme="majorHAnsi"/>
          <w:sz w:val="4"/>
        </w:rPr>
      </w:pPr>
    </w:p>
    <w:p w14:paraId="74B93E22" w14:textId="77777777" w:rsidR="005A4FD6" w:rsidRPr="00E24345" w:rsidRDefault="001D763D" w:rsidP="005A4FD6">
      <w:pPr>
        <w:spacing w:line="276" w:lineRule="auto"/>
        <w:jc w:val="both"/>
        <w:rPr>
          <w:rFonts w:asciiTheme="majorHAnsi" w:hAnsiTheme="majorHAnsi"/>
          <w:b/>
          <w:caps/>
          <w:color w:val="E88E0A"/>
          <w:sz w:val="28"/>
        </w:rPr>
      </w:pPr>
      <w:r w:rsidRPr="00B2039B">
        <w:rPr>
          <w:rFonts w:asciiTheme="majorHAnsi" w:hAnsiTheme="majorHAnsi"/>
          <w:b/>
          <w:caps/>
          <w:color w:val="E88E0A"/>
          <w:sz w:val="28"/>
        </w:rPr>
        <w:lastRenderedPageBreak/>
        <w:t>Gains in Retail Sales, Sentiment</w:t>
      </w:r>
    </w:p>
    <w:p w14:paraId="01918FB9" w14:textId="77777777" w:rsidR="005A4FD6" w:rsidRDefault="001D763D" w:rsidP="005A4FD6">
      <w:pPr>
        <w:spacing w:line="276" w:lineRule="auto"/>
        <w:jc w:val="both"/>
        <w:rPr>
          <w:rStyle w:val="st"/>
          <w:rFonts w:asciiTheme="majorHAnsi" w:hAnsiTheme="majorHAnsi"/>
          <w:sz w:val="24"/>
          <w:vertAlign w:val="superscript"/>
        </w:rPr>
      </w:pPr>
      <w:r w:rsidRPr="00B2039B">
        <w:rPr>
          <w:rStyle w:val="st"/>
          <w:rFonts w:asciiTheme="majorHAnsi" w:hAnsiTheme="majorHAnsi"/>
          <w:sz w:val="24"/>
        </w:rPr>
        <w:t>The Census Bureau said retail sales were up 0.3% in the first month of the year, matching the consensus forecast of analysts polled by MarketWat</w:t>
      </w:r>
      <w:r w:rsidRPr="00B2039B">
        <w:rPr>
          <w:rStyle w:val="st"/>
          <w:rFonts w:asciiTheme="majorHAnsi" w:hAnsiTheme="majorHAnsi"/>
          <w:sz w:val="24"/>
        </w:rPr>
        <w:t>ch. Additionally, the University of Michigan’s preliminary February consumer sentiment index monitoring consumer confidence factors went back above 100 last week (100.9)</w:t>
      </w:r>
      <w:r w:rsidRPr="00EC38D4">
        <w:rPr>
          <w:rStyle w:val="st"/>
          <w:rFonts w:asciiTheme="majorHAnsi" w:hAnsiTheme="majorHAnsi"/>
          <w:sz w:val="24"/>
        </w:rPr>
        <w:t>.</w:t>
      </w:r>
      <w:r>
        <w:rPr>
          <w:rStyle w:val="st"/>
          <w:rFonts w:asciiTheme="majorHAnsi" w:hAnsiTheme="majorHAnsi"/>
          <w:sz w:val="24"/>
          <w:vertAlign w:val="superscript"/>
        </w:rPr>
        <w:t>5</w:t>
      </w:r>
    </w:p>
    <w:p w14:paraId="484358F0" w14:textId="77777777" w:rsidR="00B2039B" w:rsidRPr="0043614C" w:rsidRDefault="001D763D" w:rsidP="00B2039B">
      <w:pPr>
        <w:spacing w:line="276" w:lineRule="auto"/>
        <w:jc w:val="both"/>
        <w:rPr>
          <w:rStyle w:val="st"/>
          <w:rFonts w:asciiTheme="majorHAnsi" w:hAnsiTheme="majorHAnsi"/>
          <w:sz w:val="8"/>
        </w:rPr>
      </w:pPr>
    </w:p>
    <w:p w14:paraId="5AB7D9E3" w14:textId="77777777" w:rsidR="00B2039B" w:rsidRPr="00E24345" w:rsidRDefault="001D763D" w:rsidP="00B2039B">
      <w:pPr>
        <w:spacing w:line="276" w:lineRule="auto"/>
        <w:jc w:val="both"/>
        <w:rPr>
          <w:rFonts w:asciiTheme="majorHAnsi" w:hAnsiTheme="majorHAnsi"/>
          <w:b/>
          <w:caps/>
          <w:color w:val="E88E0A"/>
          <w:sz w:val="28"/>
        </w:rPr>
      </w:pPr>
      <w:r w:rsidRPr="00B2039B">
        <w:rPr>
          <w:rFonts w:asciiTheme="majorHAnsi" w:hAnsiTheme="majorHAnsi"/>
          <w:b/>
          <w:caps/>
          <w:color w:val="E88E0A"/>
          <w:sz w:val="28"/>
        </w:rPr>
        <w:t>Final Thought</w:t>
      </w:r>
    </w:p>
    <w:p w14:paraId="5A2EB194" w14:textId="77777777" w:rsidR="00B2039B" w:rsidRDefault="001D763D" w:rsidP="00B2039B">
      <w:pPr>
        <w:spacing w:line="276" w:lineRule="auto"/>
        <w:jc w:val="both"/>
        <w:rPr>
          <w:rStyle w:val="st"/>
          <w:rFonts w:asciiTheme="majorHAnsi" w:hAnsiTheme="majorHAnsi"/>
          <w:sz w:val="24"/>
          <w:vertAlign w:val="superscript"/>
        </w:rPr>
      </w:pPr>
      <w:r w:rsidRPr="00B2039B">
        <w:rPr>
          <w:rStyle w:val="st"/>
          <w:rFonts w:asciiTheme="majorHAnsi" w:hAnsiTheme="majorHAnsi"/>
          <w:sz w:val="24"/>
        </w:rPr>
        <w:t xml:space="preserve">The S&amp;P 500 has risen more than 1% since the coronavirus </w:t>
      </w:r>
      <w:r w:rsidRPr="00B2039B">
        <w:rPr>
          <w:rStyle w:val="st"/>
          <w:rFonts w:asciiTheme="majorHAnsi" w:hAnsiTheme="majorHAnsi"/>
          <w:sz w:val="24"/>
        </w:rPr>
        <w:t>surfaced. During the SARS epidemic of 2003, the MERS outbreak of 2013, and the 2015-16 Zika virus breakout, the index declined</w:t>
      </w:r>
      <w:r w:rsidRPr="00EC38D4">
        <w:rPr>
          <w:rStyle w:val="st"/>
          <w:rFonts w:asciiTheme="majorHAnsi" w:hAnsiTheme="majorHAnsi"/>
          <w:sz w:val="24"/>
        </w:rPr>
        <w:t>.</w:t>
      </w:r>
      <w:r w:rsidRPr="00EA57D4">
        <w:rPr>
          <w:rStyle w:val="st"/>
          <w:rFonts w:asciiTheme="majorHAnsi" w:hAnsiTheme="majorHAnsi"/>
          <w:sz w:val="24"/>
          <w:vertAlign w:val="superscript"/>
        </w:rPr>
        <w:t>6</w:t>
      </w:r>
    </w:p>
    <w:p w14:paraId="4C5F6BFB" w14:textId="77777777" w:rsidR="005A4FD6" w:rsidRDefault="001D763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97FEDF1" wp14:editId="6BD81C0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03BE67A3" w14:textId="77777777" w:rsidR="005A4FD6" w:rsidRPr="0043614C" w:rsidRDefault="001D763D" w:rsidP="005A4FD6">
      <w:pPr>
        <w:spacing w:line="276" w:lineRule="auto"/>
        <w:jc w:val="center"/>
        <w:rPr>
          <w:rStyle w:val="st"/>
          <w:rFonts w:asciiTheme="majorHAnsi" w:hAnsiTheme="majorHAnsi"/>
          <w:color w:val="E88E0A"/>
          <w:sz w:val="4"/>
        </w:rPr>
      </w:pPr>
    </w:p>
    <w:p w14:paraId="3A9A7776" w14:textId="77777777" w:rsidR="005A4FD6" w:rsidRPr="0043614C" w:rsidRDefault="001D763D"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14:paraId="52E5B9E4" w14:textId="77777777" w:rsidR="005A4FD6" w:rsidRDefault="001D763D"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5CB729F4" wp14:editId="79D15C84">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5219395E" w14:textId="77777777" w:rsidR="005A4FD6" w:rsidRPr="00EA0505" w:rsidRDefault="001D763D" w:rsidP="005A4FD6">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If you have accumulated </w:t>
      </w:r>
      <w:r w:rsidRPr="00E227D7">
        <w:rPr>
          <w:rStyle w:val="st"/>
          <w:rFonts w:asciiTheme="majorHAnsi" w:hAnsiTheme="majorHAnsi"/>
          <w:b/>
          <w:bCs/>
          <w:i/>
          <w:sz w:val="28"/>
        </w:rPr>
        <w:t>multiple retirement plan accounts</w:t>
      </w:r>
      <w:r>
        <w:rPr>
          <w:rStyle w:val="st"/>
          <w:rFonts w:asciiTheme="majorHAnsi" w:hAnsiTheme="majorHAnsi"/>
          <w:i/>
          <w:sz w:val="28"/>
        </w:rPr>
        <w:t xml:space="preserve"> over the years, you may want to consider </w:t>
      </w:r>
      <w:r w:rsidRPr="00E227D7">
        <w:rPr>
          <w:rStyle w:val="st"/>
          <w:rFonts w:asciiTheme="majorHAnsi" w:hAnsiTheme="majorHAnsi"/>
          <w:b/>
          <w:bCs/>
          <w:i/>
          <w:sz w:val="28"/>
        </w:rPr>
        <w:t>consolidating</w:t>
      </w:r>
      <w:r>
        <w:rPr>
          <w:rStyle w:val="st"/>
          <w:rFonts w:asciiTheme="majorHAnsi" w:hAnsiTheme="majorHAnsi"/>
          <w:i/>
          <w:sz w:val="28"/>
        </w:rPr>
        <w:t xml:space="preserve"> some of those balances into </w:t>
      </w:r>
      <w:r w:rsidRPr="00E227D7">
        <w:rPr>
          <w:rStyle w:val="st"/>
          <w:rFonts w:asciiTheme="majorHAnsi" w:hAnsiTheme="majorHAnsi"/>
          <w:b/>
          <w:bCs/>
          <w:i/>
          <w:sz w:val="28"/>
        </w:rPr>
        <w:t>one account</w:t>
      </w:r>
      <w:r>
        <w:rPr>
          <w:rStyle w:val="st"/>
          <w:rFonts w:asciiTheme="majorHAnsi" w:hAnsiTheme="majorHAnsi"/>
          <w:i/>
          <w:sz w:val="28"/>
        </w:rPr>
        <w:t xml:space="preserve">, as a move to </w:t>
      </w:r>
      <w:r w:rsidRPr="00E227D7">
        <w:rPr>
          <w:rStyle w:val="st"/>
          <w:rFonts w:asciiTheme="majorHAnsi" w:hAnsiTheme="majorHAnsi"/>
          <w:b/>
          <w:bCs/>
          <w:i/>
          <w:sz w:val="28"/>
        </w:rPr>
        <w:t>simplify</w:t>
      </w:r>
      <w:r>
        <w:rPr>
          <w:rStyle w:val="st"/>
          <w:rFonts w:asciiTheme="majorHAnsi" w:hAnsiTheme="majorHAnsi"/>
          <w:i/>
          <w:sz w:val="28"/>
        </w:rPr>
        <w:t xml:space="preserve"> your retirement savings effort. </w:t>
      </w:r>
    </w:p>
    <w:p w14:paraId="2CBAA750" w14:textId="77777777" w:rsidR="005A4FD6" w:rsidRPr="0043614C" w:rsidRDefault="001D763D" w:rsidP="005A4FD6">
      <w:pPr>
        <w:spacing w:line="276" w:lineRule="auto"/>
        <w:jc w:val="center"/>
        <w:rPr>
          <w:rStyle w:val="st"/>
          <w:rFonts w:asciiTheme="majorHAnsi" w:hAnsiTheme="majorHAnsi"/>
          <w:i/>
          <w:color w:val="E88E0A"/>
          <w:sz w:val="4"/>
        </w:rPr>
      </w:pPr>
    </w:p>
    <w:p w14:paraId="0FB16B93" w14:textId="77777777" w:rsidR="005A4FD6" w:rsidRDefault="001D763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FD71CDA" wp14:editId="2A7ABC6D">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2478B322" w14:textId="77777777" w:rsidR="005A4FD6" w:rsidRPr="0043614C" w:rsidRDefault="001D763D" w:rsidP="005A4FD6">
      <w:pPr>
        <w:spacing w:line="276" w:lineRule="auto"/>
        <w:rPr>
          <w:rFonts w:asciiTheme="majorHAnsi" w:hAnsiTheme="majorHAnsi"/>
          <w:b/>
          <w:color w:val="E88E0A"/>
          <w:spacing w:val="-2"/>
          <w:sz w:val="6"/>
        </w:rPr>
      </w:pPr>
    </w:p>
    <w:p w14:paraId="457CD2D4" w14:textId="77777777" w:rsidR="005A4FD6" w:rsidRDefault="001D763D"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14:paraId="60B0E0B0" w14:textId="77777777" w:rsidR="00E227D7" w:rsidRPr="00E227D7" w:rsidRDefault="001D763D" w:rsidP="00E227D7">
      <w:pPr>
        <w:spacing w:line="240" w:lineRule="auto"/>
        <w:rPr>
          <w:rFonts w:asciiTheme="majorHAnsi" w:hAnsiTheme="majorHAnsi"/>
          <w:bCs/>
          <w:color w:val="000000" w:themeColor="text1"/>
          <w:spacing w:val="-2"/>
          <w:sz w:val="24"/>
        </w:rPr>
      </w:pPr>
      <w:bookmarkStart w:id="0" w:name="_Hlk3729023"/>
      <w:r w:rsidRPr="00E227D7">
        <w:rPr>
          <w:rFonts w:asciiTheme="majorHAnsi" w:hAnsiTheme="majorHAnsi"/>
          <w:b/>
          <w:color w:val="000000" w:themeColor="text1"/>
          <w:spacing w:val="-2"/>
          <w:sz w:val="24"/>
        </w:rPr>
        <w:t xml:space="preserve">Wednesday: </w:t>
      </w:r>
      <w:r w:rsidRPr="00E227D7">
        <w:rPr>
          <w:rFonts w:asciiTheme="majorHAnsi" w:hAnsiTheme="majorHAnsi"/>
          <w:bCs/>
          <w:color w:val="000000" w:themeColor="text1"/>
          <w:spacing w:val="-2"/>
          <w:sz w:val="24"/>
        </w:rPr>
        <w:t>The Federal Reserve releases minutes from its January m</w:t>
      </w:r>
      <w:r w:rsidRPr="00E227D7">
        <w:rPr>
          <w:rFonts w:asciiTheme="majorHAnsi" w:hAnsiTheme="majorHAnsi"/>
          <w:bCs/>
          <w:color w:val="000000" w:themeColor="text1"/>
          <w:spacing w:val="-2"/>
          <w:sz w:val="24"/>
        </w:rPr>
        <w:t>eeting, and the Census Bureau presents data on January residential construction activity.</w:t>
      </w:r>
    </w:p>
    <w:p w14:paraId="7CA89953" w14:textId="77777777" w:rsidR="005A4FD6" w:rsidRPr="00C0649C" w:rsidRDefault="001D763D" w:rsidP="00E227D7">
      <w:pPr>
        <w:spacing w:line="240" w:lineRule="auto"/>
        <w:rPr>
          <w:rFonts w:asciiTheme="majorHAnsi" w:eastAsia="Times New Roman" w:hAnsiTheme="majorHAnsi"/>
          <w:color w:val="000000" w:themeColor="text1"/>
          <w:spacing w:val="-2"/>
          <w:sz w:val="24"/>
          <w:szCs w:val="20"/>
        </w:rPr>
      </w:pPr>
      <w:r w:rsidRPr="00E227D7">
        <w:rPr>
          <w:rFonts w:asciiTheme="majorHAnsi" w:hAnsiTheme="majorHAnsi"/>
          <w:b/>
          <w:color w:val="000000" w:themeColor="text1"/>
          <w:spacing w:val="-2"/>
          <w:sz w:val="24"/>
        </w:rPr>
        <w:t xml:space="preserve">Friday: </w:t>
      </w:r>
      <w:r w:rsidRPr="00E227D7">
        <w:rPr>
          <w:rFonts w:asciiTheme="majorHAnsi" w:hAnsiTheme="majorHAnsi"/>
          <w:bCs/>
          <w:color w:val="000000" w:themeColor="text1"/>
          <w:spacing w:val="-2"/>
          <w:sz w:val="24"/>
        </w:rPr>
        <w:t>The National Association of Realtors issues its latest existing home sales report.</w:t>
      </w:r>
    </w:p>
    <w:bookmarkEnd w:id="0"/>
    <w:p w14:paraId="6B0EF9BD" w14:textId="77777777" w:rsidR="005A4FD6" w:rsidRPr="000525F2" w:rsidRDefault="001D763D"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 xml:space="preserve">MarketWatch, </w:t>
      </w:r>
      <w:r>
        <w:rPr>
          <w:rFonts w:eastAsia="Times New Roman"/>
          <w:color w:val="000000"/>
          <w:sz w:val="18"/>
          <w:szCs w:val="20"/>
        </w:rPr>
        <w:t>February 14, 2020</w:t>
      </w:r>
    </w:p>
    <w:p w14:paraId="388FB9C7" w14:textId="77777777" w:rsidR="005A4FD6" w:rsidRPr="0043614C" w:rsidRDefault="001D763D" w:rsidP="005A4FD6">
      <w:pPr>
        <w:spacing w:line="240" w:lineRule="auto"/>
        <w:jc w:val="both"/>
        <w:rPr>
          <w:rFonts w:asciiTheme="majorHAnsi" w:hAnsiTheme="majorHAnsi"/>
          <w:color w:val="000000" w:themeColor="text1"/>
          <w:spacing w:val="-2"/>
          <w:sz w:val="24"/>
        </w:rPr>
      </w:pPr>
      <w:r w:rsidRPr="00BF0E6C">
        <w:rPr>
          <w:rFonts w:eastAsia="Times New Roman"/>
          <w:color w:val="000000"/>
          <w:sz w:val="18"/>
          <w:szCs w:val="20"/>
        </w:rPr>
        <w:t xml:space="preserve">The </w:t>
      </w:r>
      <w:r>
        <w:rPr>
          <w:rFonts w:eastAsia="Times New Roman"/>
          <w:color w:val="000000"/>
          <w:sz w:val="18"/>
          <w:szCs w:val="20"/>
        </w:rPr>
        <w:t>MarketWatch</w:t>
      </w:r>
      <w:r w:rsidRPr="00BF0E6C">
        <w:rPr>
          <w:rFonts w:eastAsia="Times New Roman"/>
          <w:color w:val="000000"/>
          <w:sz w:val="18"/>
          <w:szCs w:val="20"/>
        </w:rPr>
        <w:t xml:space="preserve"> economic calendar lists upcoming U.S. economic data releases (including key economic indicators), Federal Reserve policy meetings, and speaking engagements of Federal Reserve officials. The content is developed from sources believed to be providing accura</w:t>
      </w:r>
      <w:r w:rsidRPr="00BF0E6C">
        <w:rPr>
          <w:rFonts w:eastAsia="Times New Roman"/>
          <w:color w:val="000000"/>
          <w:sz w:val="18"/>
          <w:szCs w:val="20"/>
        </w:rPr>
        <w:t>te information. The forecasts or forward-looking statements are based on assumptions and may not materialize. The forecasts also are subject to revision</w:t>
      </w:r>
      <w:r w:rsidRPr="000525F2">
        <w:rPr>
          <w:rFonts w:eastAsia="Times New Roman"/>
          <w:color w:val="000000"/>
          <w:sz w:val="18"/>
          <w:szCs w:val="20"/>
        </w:rPr>
        <w:t>.</w:t>
      </w:r>
    </w:p>
    <w:p w14:paraId="7CD6D358" w14:textId="77777777" w:rsidR="005A4FD6" w:rsidRPr="0043614C" w:rsidRDefault="001D763D" w:rsidP="005A4FD6">
      <w:pPr>
        <w:spacing w:line="276" w:lineRule="auto"/>
        <w:rPr>
          <w:rFonts w:asciiTheme="majorHAnsi" w:hAnsiTheme="majorHAnsi"/>
          <w:color w:val="808080"/>
          <w:spacing w:val="-2"/>
          <w:sz w:val="4"/>
        </w:rPr>
      </w:pPr>
    </w:p>
    <w:p w14:paraId="5876BED1" w14:textId="77777777" w:rsidR="005A4FD6" w:rsidRDefault="001D763D"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14:paraId="5E834ED6" w14:textId="77777777" w:rsidR="00E227D7" w:rsidRPr="00E227D7" w:rsidRDefault="001D763D" w:rsidP="00E227D7">
      <w:pPr>
        <w:spacing w:line="240" w:lineRule="auto"/>
        <w:rPr>
          <w:rFonts w:asciiTheme="majorHAnsi" w:hAnsiTheme="majorHAnsi"/>
          <w:b/>
          <w:color w:val="000000" w:themeColor="text1"/>
          <w:spacing w:val="-2"/>
          <w:sz w:val="24"/>
        </w:rPr>
      </w:pPr>
      <w:r w:rsidRPr="00E227D7">
        <w:rPr>
          <w:rFonts w:asciiTheme="majorHAnsi" w:hAnsiTheme="majorHAnsi"/>
          <w:b/>
          <w:color w:val="000000" w:themeColor="text1"/>
          <w:spacing w:val="-2"/>
          <w:sz w:val="24"/>
        </w:rPr>
        <w:t xml:space="preserve">Tuesday: </w:t>
      </w:r>
      <w:r w:rsidRPr="00E227D7">
        <w:rPr>
          <w:rFonts w:asciiTheme="majorHAnsi" w:hAnsiTheme="majorHAnsi"/>
          <w:bCs/>
          <w:color w:val="000000" w:themeColor="text1"/>
          <w:spacing w:val="-2"/>
          <w:sz w:val="24"/>
        </w:rPr>
        <w:t>Medtronic (MDT), Walmart (WMT)</w:t>
      </w:r>
    </w:p>
    <w:p w14:paraId="6E744BB2" w14:textId="77777777" w:rsidR="00E227D7" w:rsidRPr="00E227D7" w:rsidRDefault="001D763D" w:rsidP="00E227D7">
      <w:pPr>
        <w:spacing w:line="240" w:lineRule="auto"/>
        <w:rPr>
          <w:rFonts w:asciiTheme="majorHAnsi" w:hAnsiTheme="majorHAnsi"/>
          <w:b/>
          <w:color w:val="000000" w:themeColor="text1"/>
          <w:spacing w:val="-2"/>
          <w:sz w:val="24"/>
        </w:rPr>
      </w:pPr>
      <w:r w:rsidRPr="00E227D7">
        <w:rPr>
          <w:rFonts w:asciiTheme="majorHAnsi" w:hAnsiTheme="majorHAnsi"/>
          <w:b/>
          <w:color w:val="000000" w:themeColor="text1"/>
          <w:spacing w:val="-2"/>
          <w:sz w:val="24"/>
        </w:rPr>
        <w:lastRenderedPageBreak/>
        <w:t>Wednesday:</w:t>
      </w:r>
      <w:r w:rsidRPr="00E227D7">
        <w:rPr>
          <w:rFonts w:asciiTheme="majorHAnsi" w:hAnsiTheme="majorHAnsi"/>
          <w:bCs/>
          <w:color w:val="000000" w:themeColor="text1"/>
          <w:spacing w:val="-2"/>
          <w:sz w:val="24"/>
        </w:rPr>
        <w:t xml:space="preserve"> Analog Devices (ADI), NetEase (NTES)</w:t>
      </w:r>
    </w:p>
    <w:p w14:paraId="7E88D157" w14:textId="77777777" w:rsidR="00E227D7" w:rsidRPr="00E227D7" w:rsidRDefault="001D763D" w:rsidP="00E227D7">
      <w:pPr>
        <w:spacing w:line="240" w:lineRule="auto"/>
        <w:rPr>
          <w:rFonts w:asciiTheme="majorHAnsi" w:hAnsiTheme="majorHAnsi"/>
          <w:bCs/>
          <w:color w:val="000000" w:themeColor="text1"/>
          <w:spacing w:val="-2"/>
          <w:sz w:val="24"/>
        </w:rPr>
      </w:pPr>
      <w:r w:rsidRPr="00E227D7">
        <w:rPr>
          <w:rFonts w:asciiTheme="majorHAnsi" w:hAnsiTheme="majorHAnsi"/>
          <w:b/>
          <w:color w:val="000000" w:themeColor="text1"/>
          <w:spacing w:val="-2"/>
          <w:sz w:val="24"/>
        </w:rPr>
        <w:t xml:space="preserve">Thursday: </w:t>
      </w:r>
      <w:r w:rsidRPr="00E227D7">
        <w:rPr>
          <w:rFonts w:asciiTheme="majorHAnsi" w:hAnsiTheme="majorHAnsi"/>
          <w:bCs/>
          <w:color w:val="000000" w:themeColor="text1"/>
          <w:spacing w:val="-2"/>
          <w:sz w:val="24"/>
        </w:rPr>
        <w:t>Dominos (DPZ), Hormel Foods (HRL), Southern (SO)</w:t>
      </w:r>
    </w:p>
    <w:p w14:paraId="61D3E32D" w14:textId="77777777" w:rsidR="00534997" w:rsidRPr="00C0649C" w:rsidRDefault="001D763D" w:rsidP="00E227D7">
      <w:pPr>
        <w:spacing w:line="240" w:lineRule="auto"/>
        <w:rPr>
          <w:rFonts w:asciiTheme="majorHAnsi" w:eastAsia="Times New Roman" w:hAnsiTheme="majorHAnsi"/>
          <w:color w:val="000000" w:themeColor="text1"/>
          <w:spacing w:val="-2"/>
          <w:sz w:val="24"/>
          <w:szCs w:val="20"/>
        </w:rPr>
      </w:pPr>
      <w:r w:rsidRPr="00E227D7">
        <w:rPr>
          <w:rFonts w:asciiTheme="majorHAnsi" w:hAnsiTheme="majorHAnsi"/>
          <w:b/>
          <w:color w:val="000000" w:themeColor="text1"/>
          <w:spacing w:val="-2"/>
          <w:sz w:val="24"/>
        </w:rPr>
        <w:t xml:space="preserve">Friday: </w:t>
      </w:r>
      <w:r w:rsidRPr="00E227D7">
        <w:rPr>
          <w:rFonts w:asciiTheme="majorHAnsi" w:hAnsiTheme="majorHAnsi"/>
          <w:bCs/>
          <w:color w:val="000000" w:themeColor="text1"/>
          <w:spacing w:val="-2"/>
          <w:sz w:val="24"/>
        </w:rPr>
        <w:t>Deere &amp; Co. (DE), Royal Bank of Canada (RY)</w:t>
      </w:r>
    </w:p>
    <w:p w14:paraId="18BF16D5" w14:textId="77777777" w:rsidR="005A4FD6" w:rsidRPr="000525F2" w:rsidRDefault="001D763D"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.com, </w:t>
      </w:r>
      <w:r>
        <w:rPr>
          <w:rFonts w:eastAsia="Times New Roman"/>
          <w:color w:val="000000"/>
          <w:sz w:val="18"/>
          <w:szCs w:val="20"/>
        </w:rPr>
        <w:t>February 14, 2020</w:t>
      </w:r>
    </w:p>
    <w:p w14:paraId="75DBA8EA" w14:textId="77777777" w:rsidR="005A4FD6" w:rsidRPr="000525F2" w:rsidRDefault="001D763D"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Companies mentioned are for informational purposes only. It </w:t>
      </w:r>
      <w:r w:rsidRPr="000525F2">
        <w:rPr>
          <w:rFonts w:eastAsia="Times New Roman"/>
          <w:color w:val="000000"/>
          <w:sz w:val="18"/>
          <w:szCs w:val="20"/>
        </w:rPr>
        <w:t>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market conditions </w:t>
      </w:r>
      <w:r w:rsidRPr="000525F2">
        <w:rPr>
          <w:rFonts w:eastAsia="Times New Roman"/>
          <w:color w:val="000000"/>
          <w:sz w:val="18"/>
          <w:szCs w:val="20"/>
        </w:rPr>
        <w:t>change. When sold, investments may be worth more or less than their original cost. Companies may reschedule when they report earnings without notic</w:t>
      </w:r>
      <w:r>
        <w:rPr>
          <w:rFonts w:eastAsia="Times New Roman"/>
          <w:color w:val="000000"/>
          <w:sz w:val="18"/>
          <w:szCs w:val="20"/>
        </w:rPr>
        <w:t>e.</w:t>
      </w:r>
    </w:p>
    <w:p w14:paraId="06EC1A6A" w14:textId="77777777" w:rsidR="005A4FD6" w:rsidRPr="0043614C" w:rsidRDefault="001D763D" w:rsidP="005A4FD6">
      <w:pPr>
        <w:spacing w:line="276" w:lineRule="auto"/>
        <w:rPr>
          <w:rFonts w:asciiTheme="majorHAnsi" w:hAnsiTheme="majorHAnsi"/>
          <w:color w:val="808080"/>
          <w:spacing w:val="-2"/>
          <w:sz w:val="4"/>
        </w:rPr>
      </w:pPr>
    </w:p>
    <w:p w14:paraId="2ABDFC4C" w14:textId="77777777" w:rsidR="005A4FD6" w:rsidRDefault="001D763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19B645C" wp14:editId="0165F132">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5584B464" w14:textId="77777777" w:rsidR="005A4FD6" w:rsidRPr="0043614C" w:rsidRDefault="001D763D" w:rsidP="005A4FD6">
      <w:pPr>
        <w:spacing w:line="276" w:lineRule="auto"/>
        <w:jc w:val="center"/>
        <w:rPr>
          <w:rStyle w:val="st"/>
          <w:rFonts w:asciiTheme="majorHAnsi" w:hAnsiTheme="majorHAnsi"/>
          <w:color w:val="E88E0A"/>
          <w:sz w:val="4"/>
        </w:rPr>
      </w:pPr>
    </w:p>
    <w:p w14:paraId="5F0956CA" w14:textId="77777777" w:rsidR="005A4FD6" w:rsidRPr="00B2579B" w:rsidRDefault="001D763D"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14:paraId="045363E5" w14:textId="77777777" w:rsidR="005A4FD6" w:rsidRPr="0043614C" w:rsidRDefault="001D763D" w:rsidP="005A4FD6">
      <w:pPr>
        <w:spacing w:line="276" w:lineRule="auto"/>
        <w:jc w:val="center"/>
        <w:rPr>
          <w:rStyle w:val="st"/>
          <w:rFonts w:asciiTheme="majorHAnsi" w:hAnsiTheme="majorHAnsi"/>
          <w:sz w:val="4"/>
        </w:rPr>
      </w:pPr>
    </w:p>
    <w:p w14:paraId="0E2BF9DF" w14:textId="77777777" w:rsidR="005A4FD6" w:rsidRDefault="001D763D"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3EE2C17D" wp14:editId="1C25A657">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481DA3E6" w14:textId="77777777" w:rsidR="005A4FD6" w:rsidRPr="00234A75" w:rsidRDefault="001D763D"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E227D7">
        <w:rPr>
          <w:rStyle w:val="st"/>
          <w:rFonts w:asciiTheme="majorHAnsi" w:hAnsiTheme="majorHAnsi"/>
          <w:i/>
          <w:sz w:val="36"/>
        </w:rPr>
        <w:t xml:space="preserve">Sooner or later we all </w:t>
      </w:r>
      <w:r w:rsidRPr="00E227D7">
        <w:rPr>
          <w:rStyle w:val="st"/>
          <w:rFonts w:asciiTheme="majorHAnsi" w:hAnsiTheme="majorHAnsi"/>
          <w:b/>
          <w:bCs/>
          <w:i/>
          <w:sz w:val="36"/>
        </w:rPr>
        <w:t>quote</w:t>
      </w:r>
      <w:r w:rsidRPr="00E227D7">
        <w:rPr>
          <w:rStyle w:val="st"/>
          <w:rFonts w:asciiTheme="majorHAnsi" w:hAnsiTheme="majorHAnsi"/>
          <w:i/>
          <w:sz w:val="36"/>
        </w:rPr>
        <w:t xml:space="preserve"> our </w:t>
      </w:r>
      <w:r w:rsidRPr="00E227D7">
        <w:rPr>
          <w:rStyle w:val="st"/>
          <w:rFonts w:asciiTheme="majorHAnsi" w:hAnsiTheme="majorHAnsi"/>
          <w:b/>
          <w:bCs/>
          <w:i/>
          <w:sz w:val="36"/>
        </w:rPr>
        <w:t>mothers</w:t>
      </w:r>
      <w:r w:rsidRPr="004F6F29">
        <w:rPr>
          <w:rStyle w:val="st"/>
          <w:rFonts w:asciiTheme="majorHAnsi" w:hAnsiTheme="majorHAnsi"/>
          <w:i/>
          <w:sz w:val="36"/>
        </w:rPr>
        <w:t>.</w:t>
      </w:r>
      <w:r w:rsidRPr="00234A75">
        <w:rPr>
          <w:rStyle w:val="st"/>
          <w:rFonts w:asciiTheme="majorHAnsi" w:hAnsiTheme="majorHAnsi"/>
          <w:i/>
          <w:sz w:val="36"/>
        </w:rPr>
        <w:t>”</w:t>
      </w:r>
    </w:p>
    <w:p w14:paraId="342577C3" w14:textId="77777777" w:rsidR="005A4FD6" w:rsidRPr="00E227D7" w:rsidRDefault="001D763D" w:rsidP="005A4FD6">
      <w:pPr>
        <w:spacing w:line="276" w:lineRule="auto"/>
        <w:jc w:val="center"/>
        <w:rPr>
          <w:rStyle w:val="st"/>
          <w:rFonts w:asciiTheme="majorHAnsi" w:hAnsiTheme="majorHAnsi"/>
          <w:caps/>
          <w:sz w:val="24"/>
        </w:rPr>
      </w:pPr>
      <w:r w:rsidRPr="00E227D7">
        <w:rPr>
          <w:rStyle w:val="st"/>
          <w:rFonts w:asciiTheme="majorHAnsi" w:hAnsiTheme="majorHAnsi"/>
          <w:i/>
          <w:caps/>
          <w:color w:val="E88E0A"/>
        </w:rPr>
        <w:t>Bern williams</w:t>
      </w:r>
    </w:p>
    <w:p w14:paraId="1C703913" w14:textId="77777777" w:rsidR="005A4FD6" w:rsidRPr="0043614C" w:rsidRDefault="001D763D" w:rsidP="005A4FD6">
      <w:pPr>
        <w:spacing w:line="276" w:lineRule="auto"/>
        <w:jc w:val="center"/>
        <w:rPr>
          <w:rStyle w:val="st"/>
          <w:rFonts w:asciiTheme="majorHAnsi" w:hAnsiTheme="majorHAnsi"/>
          <w:i/>
          <w:color w:val="E88E0A"/>
          <w:sz w:val="4"/>
        </w:rPr>
      </w:pPr>
    </w:p>
    <w:p w14:paraId="184A6173" w14:textId="77777777" w:rsidR="005A4FD6" w:rsidRDefault="001D763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B6B12F2" wp14:editId="05C2C8BA">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7889408E" w14:textId="77777777" w:rsidR="005A4FD6" w:rsidRPr="0043614C" w:rsidRDefault="001D763D" w:rsidP="005A4FD6">
      <w:pPr>
        <w:spacing w:line="276" w:lineRule="auto"/>
        <w:rPr>
          <w:rStyle w:val="st"/>
          <w:rFonts w:asciiTheme="majorHAnsi" w:hAnsiTheme="majorHAnsi"/>
          <w:sz w:val="4"/>
        </w:rPr>
      </w:pPr>
    </w:p>
    <w:p w14:paraId="447E883D" w14:textId="77777777" w:rsidR="005A4FD6" w:rsidRPr="001162D1" w:rsidRDefault="001D763D"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14:anchorId="1C9B2FF6" wp14:editId="088BA02D">
            <wp:extent cx="5712976" cy="64556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2976" cy="6455664"/>
                    </a:xfrm>
                    <a:prstGeom prst="rect">
                      <a:avLst/>
                    </a:prstGeom>
                  </pic:spPr>
                </pic:pic>
              </a:graphicData>
            </a:graphic>
          </wp:inline>
        </w:drawing>
      </w:r>
    </w:p>
    <w:p w14:paraId="453D615B" w14:textId="77777777" w:rsidR="005A4FD6" w:rsidRDefault="001D763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F8C8D7A" wp14:editId="7E1C64D2">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5ECCA7B0" w14:textId="77777777" w:rsidR="005A4FD6" w:rsidRPr="0043614C" w:rsidRDefault="001D763D" w:rsidP="005A4FD6">
      <w:pPr>
        <w:spacing w:line="276" w:lineRule="auto"/>
        <w:jc w:val="center"/>
        <w:rPr>
          <w:rStyle w:val="st"/>
          <w:rFonts w:asciiTheme="majorHAnsi" w:hAnsiTheme="majorHAnsi"/>
          <w:color w:val="E88E0A"/>
          <w:sz w:val="4"/>
        </w:rPr>
      </w:pPr>
    </w:p>
    <w:p w14:paraId="6C49FDA6" w14:textId="77777777" w:rsidR="005A4FD6" w:rsidRPr="00B2579B" w:rsidRDefault="001D763D"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14:paraId="6D94CD07" w14:textId="77777777" w:rsidR="005A4FD6" w:rsidRPr="0043614C" w:rsidRDefault="001D763D" w:rsidP="005A4FD6">
      <w:pPr>
        <w:spacing w:line="276" w:lineRule="auto"/>
        <w:jc w:val="center"/>
        <w:rPr>
          <w:rStyle w:val="st"/>
          <w:rFonts w:asciiTheme="majorHAnsi" w:hAnsiTheme="majorHAnsi"/>
          <w:sz w:val="4"/>
        </w:rPr>
      </w:pPr>
    </w:p>
    <w:p w14:paraId="008A6BF9" w14:textId="77777777" w:rsidR="005A4FD6" w:rsidRDefault="001D763D"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14:anchorId="2254D4E3" wp14:editId="2B77C10A">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14:paraId="595CEE9F" w14:textId="77777777" w:rsidR="005A4FD6" w:rsidRPr="00EA0505" w:rsidRDefault="001D763D" w:rsidP="005A4FD6">
      <w:pPr>
        <w:spacing w:line="276" w:lineRule="auto"/>
        <w:jc w:val="center"/>
        <w:rPr>
          <w:rStyle w:val="st"/>
          <w:rFonts w:asciiTheme="majorHAnsi" w:hAnsiTheme="majorHAnsi"/>
          <w:b/>
          <w:i/>
          <w:sz w:val="36"/>
        </w:rPr>
      </w:pPr>
      <w:r w:rsidRPr="00436B6C">
        <w:rPr>
          <w:rStyle w:val="st"/>
          <w:rFonts w:asciiTheme="majorHAnsi" w:hAnsiTheme="majorHAnsi"/>
          <w:i/>
          <w:sz w:val="36"/>
        </w:rPr>
        <w:t xml:space="preserve">Four women sit down to </w:t>
      </w:r>
      <w:r w:rsidRPr="00436B6C">
        <w:rPr>
          <w:rStyle w:val="st"/>
          <w:rFonts w:asciiTheme="majorHAnsi" w:hAnsiTheme="majorHAnsi"/>
          <w:b/>
          <w:bCs/>
          <w:i/>
          <w:sz w:val="36"/>
        </w:rPr>
        <w:t>play</w:t>
      </w:r>
      <w:r w:rsidRPr="00436B6C">
        <w:rPr>
          <w:rStyle w:val="st"/>
          <w:rFonts w:asciiTheme="majorHAnsi" w:hAnsiTheme="majorHAnsi"/>
          <w:i/>
          <w:sz w:val="36"/>
        </w:rPr>
        <w:t xml:space="preserve">, playing </w:t>
      </w:r>
      <w:r>
        <w:rPr>
          <w:rStyle w:val="st"/>
          <w:rFonts w:asciiTheme="majorHAnsi" w:hAnsiTheme="majorHAnsi"/>
          <w:i/>
          <w:sz w:val="36"/>
        </w:rPr>
        <w:t>after the end</w:t>
      </w:r>
      <w:r w:rsidRPr="00436B6C">
        <w:rPr>
          <w:rStyle w:val="st"/>
          <w:rFonts w:asciiTheme="majorHAnsi" w:hAnsiTheme="majorHAnsi"/>
          <w:i/>
          <w:sz w:val="36"/>
        </w:rPr>
        <w:t xml:space="preserve"> of </w:t>
      </w:r>
      <w:r>
        <w:rPr>
          <w:rStyle w:val="st"/>
          <w:rFonts w:asciiTheme="majorHAnsi" w:hAnsiTheme="majorHAnsi"/>
          <w:i/>
          <w:sz w:val="36"/>
        </w:rPr>
        <w:t xml:space="preserve">the </w:t>
      </w:r>
      <w:r w:rsidRPr="00436B6C">
        <w:rPr>
          <w:rStyle w:val="st"/>
          <w:rFonts w:asciiTheme="majorHAnsi" w:hAnsiTheme="majorHAnsi"/>
          <w:i/>
          <w:sz w:val="36"/>
        </w:rPr>
        <w:t xml:space="preserve">day, playing for </w:t>
      </w:r>
      <w:r w:rsidRPr="00436B6C">
        <w:rPr>
          <w:rStyle w:val="st"/>
          <w:rFonts w:asciiTheme="majorHAnsi" w:hAnsiTheme="majorHAnsi"/>
          <w:b/>
          <w:bCs/>
          <w:i/>
          <w:sz w:val="36"/>
        </w:rPr>
        <w:t>cash</w:t>
      </w:r>
      <w:r w:rsidRPr="00436B6C">
        <w:rPr>
          <w:rStyle w:val="st"/>
          <w:rFonts w:asciiTheme="majorHAnsi" w:hAnsiTheme="majorHAnsi"/>
          <w:i/>
          <w:sz w:val="36"/>
        </w:rPr>
        <w:t xml:space="preserve">, not for fun, a separate </w:t>
      </w:r>
      <w:r w:rsidRPr="00436B6C">
        <w:rPr>
          <w:rStyle w:val="st"/>
          <w:rFonts w:asciiTheme="majorHAnsi" w:hAnsiTheme="majorHAnsi"/>
          <w:b/>
          <w:bCs/>
          <w:i/>
          <w:sz w:val="36"/>
        </w:rPr>
        <w:t>score</w:t>
      </w:r>
      <w:r w:rsidRPr="00436B6C">
        <w:rPr>
          <w:rStyle w:val="st"/>
          <w:rFonts w:asciiTheme="majorHAnsi" w:hAnsiTheme="majorHAnsi"/>
          <w:i/>
          <w:sz w:val="36"/>
        </w:rPr>
        <w:t xml:space="preserve"> for everyone. Not one lost, and </w:t>
      </w:r>
      <w:r w:rsidRPr="00436B6C">
        <w:rPr>
          <w:rStyle w:val="st"/>
          <w:rFonts w:asciiTheme="majorHAnsi" w:hAnsiTheme="majorHAnsi"/>
          <w:b/>
          <w:bCs/>
          <w:i/>
          <w:sz w:val="36"/>
        </w:rPr>
        <w:t>all gained</w:t>
      </w:r>
      <w:r w:rsidRPr="00436B6C">
        <w:rPr>
          <w:rStyle w:val="st"/>
          <w:rFonts w:asciiTheme="majorHAnsi" w:hAnsiTheme="majorHAnsi"/>
          <w:i/>
          <w:sz w:val="36"/>
        </w:rPr>
        <w:t>. Now that you</w:t>
      </w:r>
      <w:r>
        <w:rPr>
          <w:rStyle w:val="st"/>
          <w:rFonts w:asciiTheme="majorHAnsi" w:hAnsiTheme="majorHAnsi"/>
          <w:i/>
          <w:sz w:val="36"/>
        </w:rPr>
        <w:t>’</w:t>
      </w:r>
      <w:r w:rsidRPr="00436B6C">
        <w:rPr>
          <w:rStyle w:val="st"/>
          <w:rFonts w:asciiTheme="majorHAnsi" w:hAnsiTheme="majorHAnsi"/>
          <w:i/>
          <w:sz w:val="36"/>
        </w:rPr>
        <w:t>ve heard</w:t>
      </w:r>
      <w:r>
        <w:rPr>
          <w:rStyle w:val="st"/>
          <w:rFonts w:asciiTheme="majorHAnsi" w:hAnsiTheme="majorHAnsi"/>
          <w:i/>
          <w:sz w:val="36"/>
        </w:rPr>
        <w:t xml:space="preserve"> this</w:t>
      </w:r>
      <w:r w:rsidRPr="00436B6C">
        <w:rPr>
          <w:rStyle w:val="st"/>
          <w:rFonts w:asciiTheme="majorHAnsi" w:hAnsiTheme="majorHAnsi"/>
          <w:i/>
          <w:sz w:val="36"/>
        </w:rPr>
        <w:t>, can you explain</w:t>
      </w:r>
      <w:r>
        <w:rPr>
          <w:rStyle w:val="st"/>
          <w:rFonts w:asciiTheme="majorHAnsi" w:hAnsiTheme="majorHAnsi"/>
          <w:i/>
          <w:sz w:val="36"/>
        </w:rPr>
        <w:t xml:space="preserve"> … what they did, and why it happened this way</w:t>
      </w:r>
      <w:r w:rsidRPr="00436B6C">
        <w:rPr>
          <w:rStyle w:val="st"/>
          <w:rFonts w:asciiTheme="majorHAnsi" w:hAnsiTheme="majorHAnsi"/>
          <w:i/>
          <w:sz w:val="36"/>
        </w:rPr>
        <w:t>?</w:t>
      </w:r>
    </w:p>
    <w:p w14:paraId="5D3B2852" w14:textId="77777777" w:rsidR="005A4FD6" w:rsidRPr="0043614C" w:rsidRDefault="001D763D" w:rsidP="005A4FD6">
      <w:pPr>
        <w:spacing w:line="276" w:lineRule="auto"/>
        <w:jc w:val="center"/>
        <w:rPr>
          <w:rStyle w:val="st"/>
          <w:rFonts w:asciiTheme="majorHAnsi" w:hAnsiTheme="majorHAnsi"/>
          <w:i/>
          <w:color w:val="A6A6A6" w:themeColor="background1" w:themeShade="A6"/>
          <w:sz w:val="4"/>
        </w:rPr>
      </w:pPr>
    </w:p>
    <w:p w14:paraId="4186BFEF" w14:textId="77777777" w:rsidR="005A4FD6" w:rsidRPr="001162D1" w:rsidRDefault="001D763D"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E227D7">
        <w:rPr>
          <w:rStyle w:val="st"/>
          <w:rFonts w:asciiTheme="majorHAnsi" w:hAnsiTheme="majorHAnsi"/>
          <w:i/>
          <w:color w:val="646464"/>
        </w:rPr>
        <w:t>You can rest on my pad without touching the keys. I will sing all month long as long as you pay your fees. What am I</w:t>
      </w:r>
      <w:r w:rsidRPr="001162D1">
        <w:rPr>
          <w:rStyle w:val="st"/>
          <w:rFonts w:asciiTheme="majorHAnsi" w:hAnsiTheme="majorHAnsi"/>
          <w:i/>
          <w:color w:val="646464"/>
        </w:rPr>
        <w:t>?</w:t>
      </w:r>
    </w:p>
    <w:p w14:paraId="697E0E1C" w14:textId="77777777" w:rsidR="005A4FD6" w:rsidRPr="001162D1" w:rsidRDefault="001D763D"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A smartphone.</w:t>
      </w:r>
    </w:p>
    <w:p w14:paraId="23F043A8" w14:textId="77777777" w:rsidR="005A4FD6" w:rsidRPr="0043614C" w:rsidRDefault="001D763D" w:rsidP="005A4FD6">
      <w:pPr>
        <w:spacing w:line="276" w:lineRule="auto"/>
        <w:jc w:val="center"/>
        <w:rPr>
          <w:rStyle w:val="st"/>
          <w:rFonts w:asciiTheme="majorHAnsi" w:hAnsiTheme="majorHAnsi"/>
          <w:i/>
          <w:color w:val="A6A6A6" w:themeColor="background1" w:themeShade="A6"/>
          <w:sz w:val="4"/>
        </w:rPr>
      </w:pPr>
    </w:p>
    <w:p w14:paraId="536044B2" w14:textId="77777777" w:rsidR="005A4FD6" w:rsidRDefault="001D763D"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2C35556E" wp14:editId="151B2AAA">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2F383123" w14:textId="77777777" w:rsidR="005A4FD6" w:rsidRPr="0043614C" w:rsidRDefault="001D763D" w:rsidP="005A4FD6">
      <w:pPr>
        <w:spacing w:line="276" w:lineRule="auto"/>
        <w:rPr>
          <w:rFonts w:asciiTheme="majorHAnsi" w:hAnsiTheme="majorHAnsi"/>
          <w:color w:val="A6A6A6" w:themeColor="background1" w:themeShade="A6"/>
          <w:sz w:val="4"/>
          <w:szCs w:val="20"/>
        </w:rPr>
      </w:pPr>
    </w:p>
    <w:p w14:paraId="3F0904D4" w14:textId="77777777" w:rsidR="005A4FD6" w:rsidRPr="0043614C" w:rsidRDefault="001D763D"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w:t>
      </w:r>
      <w:r>
        <w:rPr>
          <w:rFonts w:asciiTheme="majorHAnsi" w:hAnsiTheme="majorHAnsi" w:cs="Times New Roman"/>
          <w:sz w:val="24"/>
          <w:szCs w:val="32"/>
        </w:rPr>
        <w:t xml:space="preserve"> adding them to our mailing list.)</w:t>
      </w:r>
    </w:p>
    <w:p w14:paraId="580AFEC6" w14:textId="77777777" w:rsidR="00237981" w:rsidRDefault="001D763D"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4E407D18" wp14:editId="1B0BEA8C">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14:paraId="38DCCFE4" w14:textId="77777777" w:rsidR="00EA0505" w:rsidRPr="0043614C" w:rsidRDefault="001D763D" w:rsidP="00571E5C">
      <w:pPr>
        <w:spacing w:line="276" w:lineRule="auto"/>
        <w:jc w:val="both"/>
        <w:rPr>
          <w:rFonts w:asciiTheme="majorHAnsi" w:hAnsiTheme="majorHAnsi"/>
          <w:color w:val="A6A6A6" w:themeColor="background1" w:themeShade="A6"/>
          <w:sz w:val="2"/>
          <w:szCs w:val="16"/>
        </w:rPr>
      </w:pPr>
    </w:p>
    <w:p w14:paraId="29238C3F" w14:textId="77777777" w:rsidR="001D763D" w:rsidRDefault="001D763D" w:rsidP="001D763D">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14:paraId="3DC7FEAB" w14:textId="77777777" w:rsidR="001D763D" w:rsidRDefault="001D763D" w:rsidP="00E476E1">
      <w:pPr>
        <w:spacing w:line="276" w:lineRule="auto"/>
        <w:jc w:val="both"/>
        <w:rPr>
          <w:rFonts w:asciiTheme="majorHAnsi" w:hAnsiTheme="majorHAnsi"/>
          <w:color w:val="646464"/>
          <w:sz w:val="16"/>
          <w:szCs w:val="16"/>
        </w:rPr>
      </w:pPr>
    </w:p>
    <w:p w14:paraId="0FBCBB8A" w14:textId="53C81484" w:rsidR="00613524" w:rsidRDefault="001D763D" w:rsidP="00E476E1">
      <w:pPr>
        <w:spacing w:line="276" w:lineRule="auto"/>
        <w:jc w:val="both"/>
        <w:rPr>
          <w:rFonts w:asciiTheme="majorHAnsi" w:hAnsiTheme="majorHAnsi" w:cs="Arial"/>
          <w:color w:val="646464"/>
          <w:sz w:val="16"/>
          <w:szCs w:val="16"/>
        </w:rPr>
      </w:pPr>
      <w:bookmarkStart w:id="1" w:name="_GoBack"/>
      <w:bookmarkEnd w:id="1"/>
      <w:r w:rsidRPr="001162D1">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1162D1">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1162D1">
        <w:rPr>
          <w:rFonts w:asciiTheme="majorHAnsi" w:hAnsiTheme="majorHAnsi" w:cs="Arial"/>
          <w:color w:val="646464"/>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1162D1">
        <w:rPr>
          <w:rFonts w:asciiTheme="majorHAnsi" w:hAnsiTheme="majorHAnsi" w:cs="Arial"/>
          <w:color w:val="646464"/>
          <w:sz w:val="16"/>
          <w:szCs w:val="16"/>
        </w:rPr>
        <w:t>ed and are not illustrative of any particular investment. Indices do not incur management fees, costs and expenses, and cannot be invested into directly. All economic and performance data is historical and not indicative of future results. The Dow Jones In</w:t>
      </w:r>
      <w:r w:rsidRPr="001162D1">
        <w:rPr>
          <w:rFonts w:asciiTheme="majorHAnsi" w:hAnsiTheme="majorHAnsi" w:cs="Arial"/>
          <w:color w:val="646464"/>
          <w:sz w:val="16"/>
          <w:szCs w:val="16"/>
        </w:rPr>
        <w:t>dustrial Average is a price-weighted index of 30 actively traded blue-chip stocks. The NASDAQ Composite Index is a market-weighted index of all over-the-counter common stocks traded on the National Association of Securities Dealers Automated Quotation Syst</w:t>
      </w:r>
      <w:r w:rsidRPr="001162D1">
        <w:rPr>
          <w:rFonts w:asciiTheme="majorHAnsi" w:hAnsiTheme="majorHAnsi" w:cs="Arial"/>
          <w:color w:val="646464"/>
          <w:sz w:val="16"/>
          <w:szCs w:val="16"/>
        </w:rPr>
        <w:t xml:space="preserve">em. The Standard &amp; Poor's 500 (S&amp;P 500) is a market-cap weighted index composed of the common stocks of 500 leading companies in leading industries of the U.S. economy. </w:t>
      </w:r>
      <w:r w:rsidRPr="00265105">
        <w:rPr>
          <w:rFonts w:asciiTheme="majorHAnsi" w:hAnsiTheme="majorHAnsi" w:cs="Arial"/>
          <w:color w:val="646464"/>
          <w:sz w:val="16"/>
          <w:szCs w:val="16"/>
        </w:rPr>
        <w:t>The MSCI EAFE Index is a stock market index that is designed to measure the equity mark</w:t>
      </w:r>
      <w:r w:rsidRPr="00265105">
        <w:rPr>
          <w:rFonts w:asciiTheme="majorHAnsi" w:hAnsiTheme="majorHAnsi" w:cs="Arial"/>
          <w:color w:val="646464"/>
          <w:sz w:val="16"/>
          <w:szCs w:val="16"/>
        </w:rPr>
        <w:t xml:space="preserve">et performance of developed markets outside of the U.S. </w:t>
      </w:r>
      <w:r>
        <w:rPr>
          <w:rFonts w:asciiTheme="majorHAnsi" w:hAnsiTheme="majorHAnsi" w:cs="Arial"/>
          <w:color w:val="646464"/>
          <w:sz w:val="16"/>
          <w:szCs w:val="16"/>
        </w:rPr>
        <w:t>and</w:t>
      </w:r>
      <w:r w:rsidRPr="00265105">
        <w:rPr>
          <w:rFonts w:asciiTheme="majorHAnsi" w:hAnsiTheme="majorHAnsi" w:cs="Arial"/>
          <w:color w:val="646464"/>
          <w:sz w:val="16"/>
          <w:szCs w:val="16"/>
        </w:rPr>
        <w:t xml:space="preserve"> Canada.</w:t>
      </w:r>
      <w:r>
        <w:rPr>
          <w:rFonts w:asciiTheme="majorHAnsi" w:hAnsiTheme="majorHAnsi" w:cs="Arial"/>
          <w:color w:val="646464"/>
          <w:sz w:val="16"/>
          <w:szCs w:val="16"/>
        </w:rPr>
        <w:t xml:space="preserve"> </w:t>
      </w:r>
      <w:r w:rsidRPr="001162D1">
        <w:rPr>
          <w:rFonts w:asciiTheme="majorHAnsi" w:hAnsiTheme="majorHAnsi" w:cs="Arial"/>
          <w:color w:val="646464"/>
          <w:sz w:val="16"/>
          <w:szCs w:val="16"/>
        </w:rPr>
        <w:t>NYSE Group, Inc. (NYSE:NYX) operates two securities exchanges: the New York Stock Exchange (the “NYSE”) and NYSE Arca (formerly known as the Archipelago Exchange, or ArcaEx®, and the Pacif</w:t>
      </w:r>
      <w:r w:rsidRPr="001162D1">
        <w:rPr>
          <w:rFonts w:asciiTheme="majorHAnsi" w:hAnsiTheme="majorHAnsi" w:cs="Arial"/>
          <w:color w:val="646464"/>
          <w:sz w:val="16"/>
          <w:szCs w:val="16"/>
        </w:rPr>
        <w:t xml:space="preserve">ic Exchange). NYSE Group is a leading provider of securities listing, trading and market data products and services. The New York Mercantile Exchange, Inc. (NYMEX) is the world's largest physical commodity futures exchange and the preeminent trading forum </w:t>
      </w:r>
      <w:r w:rsidRPr="001162D1">
        <w:rPr>
          <w:rFonts w:asciiTheme="majorHAnsi" w:hAnsiTheme="majorHAnsi" w:cs="Arial"/>
          <w:color w:val="646464"/>
          <w:sz w:val="16"/>
          <w:szCs w:val="16"/>
        </w:rPr>
        <w:t>for energy and precious metals, with trading conducted through two divisions – the NYMEX Division, home to the energy, platinum, and palladium markets, and the COMEX Division, on which all other metals trade. Additional risks are associated with internatio</w:t>
      </w:r>
      <w:r w:rsidRPr="001162D1">
        <w:rPr>
          <w:rFonts w:asciiTheme="majorHAnsi" w:hAnsiTheme="majorHAnsi" w:cs="Arial"/>
          <w:color w:val="646464"/>
          <w:sz w:val="16"/>
          <w:szCs w:val="16"/>
        </w:rPr>
        <w:t>nal investing, such as currency fluctuations, political and economic instability and differences in accounting standards. This material represents an assessment of the market environment at a specific point in time and is not intended to be a forecast of f</w:t>
      </w:r>
      <w:r w:rsidRPr="001162D1">
        <w:rPr>
          <w:rFonts w:asciiTheme="majorHAnsi" w:hAnsiTheme="majorHAnsi" w:cs="Arial"/>
          <w:color w:val="646464"/>
          <w:sz w:val="16"/>
          <w:szCs w:val="16"/>
        </w:rPr>
        <w:t xml:space="preserve">uture events, or a guarantee of future results. MarketingPro, Inc. is not affiliated with any person or firm that may </w:t>
      </w:r>
      <w:r w:rsidRPr="001162D1">
        <w:rPr>
          <w:rFonts w:asciiTheme="majorHAnsi" w:hAnsiTheme="majorHAnsi" w:cs="Arial"/>
          <w:color w:val="646464"/>
          <w:sz w:val="16"/>
          <w:szCs w:val="16"/>
        </w:rPr>
        <w:lastRenderedPageBreak/>
        <w:t>be providing this information to you. The publisher is not engaged in rendering legal, accounting or other professional services. If assis</w:t>
      </w:r>
      <w:r w:rsidRPr="001162D1">
        <w:rPr>
          <w:rFonts w:asciiTheme="majorHAnsi" w:hAnsiTheme="majorHAnsi" w:cs="Arial"/>
          <w:color w:val="646464"/>
          <w:sz w:val="16"/>
          <w:szCs w:val="16"/>
        </w:rPr>
        <w:t>tance is needed, the reader is advised to engage the services of a competent professional.</w:t>
      </w:r>
    </w:p>
    <w:p w14:paraId="56735999" w14:textId="77777777" w:rsidR="00C5595A" w:rsidRPr="002543AC" w:rsidRDefault="001D763D" w:rsidP="00C5595A">
      <w:pPr>
        <w:spacing w:line="276" w:lineRule="auto"/>
        <w:rPr>
          <w:rFonts w:asciiTheme="majorHAnsi" w:hAnsiTheme="majorHAnsi" w:cs="Arial"/>
          <w:color w:val="646464"/>
          <w:sz w:val="16"/>
          <w:szCs w:val="16"/>
        </w:rPr>
      </w:pPr>
      <w:bookmarkStart w:id="2" w:name="_Hlk2950709"/>
      <w:bookmarkStart w:id="3" w:name="_Hlk5367224"/>
      <w:bookmarkStart w:id="4" w:name="_Hlk1133051"/>
      <w:bookmarkStart w:id="5" w:name="_Hlk28962148"/>
      <w:r w:rsidRPr="002543AC">
        <w:rPr>
          <w:rFonts w:asciiTheme="majorHAnsi" w:hAnsiTheme="majorHAnsi" w:cs="Arial"/>
          <w:color w:val="646464"/>
          <w:sz w:val="16"/>
          <w:szCs w:val="16"/>
        </w:rPr>
        <w:t>CITATIONS:</w:t>
      </w:r>
    </w:p>
    <w:p w14:paraId="224132D4" w14:textId="77777777" w:rsidR="00C5595A" w:rsidRDefault="001D763D" w:rsidP="00C5595A">
      <w:pPr>
        <w:spacing w:after="0" w:line="240" w:lineRule="auto"/>
        <w:rPr>
          <w:noProof/>
        </w:rPr>
      </w:pPr>
      <w:bookmarkStart w:id="6" w:name="_Hlk7787319"/>
      <w:r>
        <w:rPr>
          <w:rFonts w:asciiTheme="majorHAnsi" w:hAnsiTheme="majorHAnsi" w:cs="Arial"/>
          <w:color w:val="767171" w:themeColor="background2" w:themeShade="80"/>
          <w:sz w:val="16"/>
        </w:rPr>
        <w:t xml:space="preserve">1 </w:t>
      </w:r>
      <w:r w:rsidRPr="008E589A">
        <w:rPr>
          <w:rFonts w:asciiTheme="majorHAnsi" w:hAnsiTheme="majorHAnsi" w:cs="Arial"/>
          <w:color w:val="767171" w:themeColor="background2" w:themeShade="80"/>
          <w:sz w:val="16"/>
        </w:rPr>
        <w:t xml:space="preserve">- </w:t>
      </w:r>
      <w:bookmarkStart w:id="7"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7"/>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2/14/20</w:t>
      </w:r>
      <w:r w:rsidRPr="008E589A">
        <w:rPr>
          <w:rFonts w:asciiTheme="majorHAnsi" w:hAnsiTheme="majorHAnsi" w:cs="Arial"/>
          <w:color w:val="767171" w:themeColor="background2" w:themeShade="80"/>
          <w:sz w:val="16"/>
        </w:rPr>
        <w:t>]</w:t>
      </w:r>
    </w:p>
    <w:p w14:paraId="3A47A63D" w14:textId="77777777" w:rsidR="00C5595A" w:rsidRPr="00C5595A" w:rsidRDefault="001D763D" w:rsidP="00C5595A">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8" w:name="_Hlk32580163"/>
      <w:r w:rsidRPr="00FA6B4E">
        <w:rPr>
          <w:rFonts w:asciiTheme="majorHAnsi" w:hAnsiTheme="majorHAnsi" w:cs="Calibri"/>
          <w:color w:val="767171" w:themeColor="background2" w:themeShade="80"/>
          <w:sz w:val="16"/>
          <w:szCs w:val="16"/>
        </w:rPr>
        <w:t xml:space="preserve">quotes.wsj.com/index/XX/MSCI%20GLOBAL/990300/historical-prices </w:t>
      </w:r>
      <w:bookmarkEnd w:id="8"/>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2/14/20</w:t>
      </w:r>
      <w:r w:rsidRPr="008E589A">
        <w:rPr>
          <w:rFonts w:asciiTheme="majorHAnsi" w:hAnsiTheme="majorHAnsi" w:cs="Calibri"/>
          <w:color w:val="767171" w:themeColor="background2" w:themeShade="80"/>
          <w:sz w:val="16"/>
          <w:szCs w:val="16"/>
        </w:rPr>
        <w:t>]</w:t>
      </w:r>
    </w:p>
    <w:p w14:paraId="69C146FA" w14:textId="77777777" w:rsidR="00C5595A" w:rsidRDefault="001D763D" w:rsidP="00C5595A">
      <w:pPr>
        <w:spacing w:after="0" w:line="240" w:lineRule="auto"/>
        <w:rPr>
          <w:noProof/>
        </w:rPr>
      </w:pPr>
      <w:r>
        <w:rPr>
          <w:rFonts w:asciiTheme="majorHAnsi" w:hAnsiTheme="majorHAnsi" w:cs="Arial"/>
          <w:color w:val="767171" w:themeColor="background2" w:themeShade="80"/>
          <w:sz w:val="16"/>
        </w:rPr>
        <w:t xml:space="preserve">3 </w:t>
      </w:r>
      <w:r w:rsidRPr="008E589A">
        <w:rPr>
          <w:rFonts w:asciiTheme="majorHAnsi" w:hAnsiTheme="majorHAnsi" w:cs="Arial"/>
          <w:color w:val="767171" w:themeColor="background2" w:themeShade="80"/>
          <w:sz w:val="16"/>
        </w:rPr>
        <w:t xml:space="preserve">- </w:t>
      </w:r>
      <w:bookmarkStart w:id="9" w:name="_Hlk32580200"/>
      <w:r w:rsidRPr="00C5595A">
        <w:rPr>
          <w:rFonts w:asciiTheme="majorHAnsi" w:hAnsiTheme="majorHAnsi" w:cs="Arial"/>
          <w:color w:val="767171" w:themeColor="background2" w:themeShade="80"/>
          <w:sz w:val="16"/>
        </w:rPr>
        <w:t>tinyurl.com/tu8tre5</w:t>
      </w:r>
      <w:r w:rsidRPr="00077187">
        <w:rPr>
          <w:rFonts w:asciiTheme="majorHAnsi" w:hAnsiTheme="majorHAnsi" w:cs="Arial"/>
          <w:color w:val="767171" w:themeColor="background2" w:themeShade="80"/>
          <w:sz w:val="16"/>
        </w:rPr>
        <w:t xml:space="preserve"> </w:t>
      </w:r>
      <w:bookmarkEnd w:id="9"/>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2/11/20</w:t>
      </w:r>
      <w:r w:rsidRPr="008E589A">
        <w:rPr>
          <w:rFonts w:asciiTheme="majorHAnsi" w:hAnsiTheme="majorHAnsi" w:cs="Arial"/>
          <w:color w:val="767171" w:themeColor="background2" w:themeShade="80"/>
          <w:sz w:val="16"/>
        </w:rPr>
        <w:t>]</w:t>
      </w:r>
    </w:p>
    <w:p w14:paraId="36CCD656" w14:textId="77777777" w:rsidR="00C5595A" w:rsidRDefault="001D763D" w:rsidP="00C5595A">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bookmarkStart w:id="10" w:name="_Hlk32580227"/>
      <w:r w:rsidRPr="00077187">
        <w:rPr>
          <w:rFonts w:asciiTheme="majorHAnsi" w:hAnsiTheme="majorHAnsi" w:cs="Arial"/>
          <w:color w:val="767171" w:themeColor="background2" w:themeShade="80"/>
          <w:sz w:val="16"/>
        </w:rPr>
        <w:t xml:space="preserve">cnbc.com/2020/02/13/us-consumer-price-index-rose-0point1percent-in-january-vs-0point2percent-expected.html </w:t>
      </w:r>
      <w:bookmarkEnd w:id="10"/>
      <w:r>
        <w:rPr>
          <w:rFonts w:asciiTheme="majorHAnsi" w:hAnsiTheme="majorHAnsi" w:cs="Arial"/>
          <w:color w:val="767171" w:themeColor="background2" w:themeShade="80"/>
          <w:sz w:val="16"/>
        </w:rPr>
        <w:t>[2/13/20]</w:t>
      </w:r>
    </w:p>
    <w:p w14:paraId="6B478232" w14:textId="77777777" w:rsidR="00C5595A" w:rsidRDefault="001D763D" w:rsidP="00C5595A">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5 - </w:t>
      </w:r>
      <w:bookmarkStart w:id="11" w:name="_Hlk32580264"/>
      <w:r w:rsidRPr="00077187">
        <w:rPr>
          <w:rFonts w:asciiTheme="majorHAnsi" w:hAnsiTheme="majorHAnsi" w:cs="Arial"/>
          <w:color w:val="767171" w:themeColor="background2" w:themeShade="80"/>
          <w:sz w:val="16"/>
        </w:rPr>
        <w:t>marketwatch.com/tools/ca</w:t>
      </w:r>
      <w:r w:rsidRPr="00077187">
        <w:rPr>
          <w:rFonts w:asciiTheme="majorHAnsi" w:hAnsiTheme="majorHAnsi" w:cs="Arial"/>
          <w:color w:val="767171" w:themeColor="background2" w:themeShade="80"/>
          <w:sz w:val="16"/>
        </w:rPr>
        <w:t xml:space="preserve">lendars/economic </w:t>
      </w:r>
      <w:bookmarkEnd w:id="11"/>
      <w:r>
        <w:rPr>
          <w:rFonts w:asciiTheme="majorHAnsi" w:hAnsiTheme="majorHAnsi" w:cs="Arial"/>
          <w:color w:val="767171" w:themeColor="background2" w:themeShade="80"/>
          <w:sz w:val="16"/>
        </w:rPr>
        <w:t>[2/14/20]</w:t>
      </w:r>
    </w:p>
    <w:p w14:paraId="315ABA04" w14:textId="77777777" w:rsidR="00C5595A" w:rsidRDefault="001D763D" w:rsidP="00C5595A">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bookmarkStart w:id="12" w:name="_Hlk32580285"/>
      <w:r w:rsidRPr="00077187">
        <w:rPr>
          <w:rFonts w:asciiTheme="majorHAnsi" w:hAnsiTheme="majorHAnsi" w:cs="Arial"/>
          <w:color w:val="767171" w:themeColor="background2" w:themeShade="80"/>
          <w:sz w:val="16"/>
        </w:rPr>
        <w:t xml:space="preserve">cnbc.com/2020/02/13/us-futures-point-to-lower-open-on-wall-street.html </w:t>
      </w:r>
      <w:bookmarkEnd w:id="12"/>
      <w:r>
        <w:rPr>
          <w:rFonts w:asciiTheme="majorHAnsi" w:hAnsiTheme="majorHAnsi" w:cs="Arial"/>
          <w:color w:val="767171" w:themeColor="background2" w:themeShade="80"/>
          <w:sz w:val="16"/>
        </w:rPr>
        <w:t>[2/13/20]</w:t>
      </w:r>
    </w:p>
    <w:p w14:paraId="009EFD0E" w14:textId="77777777" w:rsidR="00C5595A" w:rsidRDefault="001D763D" w:rsidP="00C5595A">
      <w:pPr>
        <w:spacing w:after="0" w:line="240" w:lineRule="auto"/>
        <w:rPr>
          <w:rFonts w:asciiTheme="majorHAnsi" w:hAnsiTheme="majorHAnsi" w:cs="Arial"/>
          <w:color w:val="767171" w:themeColor="background2" w:themeShade="80"/>
          <w:sz w:val="16"/>
        </w:rPr>
      </w:pPr>
    </w:p>
    <w:p w14:paraId="6E5EAE24" w14:textId="77777777" w:rsidR="00C5595A" w:rsidRDefault="001D763D" w:rsidP="00C5595A">
      <w:pPr>
        <w:spacing w:after="0" w:line="240" w:lineRule="auto"/>
        <w:rPr>
          <w:rFonts w:asciiTheme="majorHAnsi" w:hAnsiTheme="majorHAnsi" w:cs="Arial"/>
          <w:color w:val="767171" w:themeColor="background2" w:themeShade="80"/>
          <w:sz w:val="16"/>
        </w:rPr>
      </w:pPr>
    </w:p>
    <w:p w14:paraId="414B93CA" w14:textId="77777777" w:rsidR="00C5595A" w:rsidRPr="002543AC" w:rsidRDefault="001D763D" w:rsidP="00C5595A">
      <w:pPr>
        <w:spacing w:line="276" w:lineRule="auto"/>
        <w:rPr>
          <w:rFonts w:asciiTheme="majorHAnsi" w:hAnsiTheme="majorHAnsi" w:cs="Arial"/>
          <w:color w:val="646464"/>
          <w:sz w:val="16"/>
          <w:szCs w:val="16"/>
        </w:rPr>
      </w:pPr>
      <w:bookmarkStart w:id="13" w:name="_Hlk2950788"/>
      <w:bookmarkStart w:id="14" w:name="_Hlk5367252"/>
      <w:bookmarkEnd w:id="2"/>
      <w:bookmarkEnd w:id="3"/>
      <w:bookmarkEnd w:id="6"/>
      <w:r w:rsidRPr="002543AC">
        <w:rPr>
          <w:rFonts w:asciiTheme="majorHAnsi" w:hAnsiTheme="majorHAnsi" w:cs="Arial"/>
          <w:color w:val="646464"/>
          <w:sz w:val="16"/>
          <w:szCs w:val="16"/>
        </w:rPr>
        <w:t>CHART CITATIONS:</w:t>
      </w:r>
    </w:p>
    <w:p w14:paraId="0B718361" w14:textId="77777777" w:rsidR="00C5595A" w:rsidRPr="00C5595A" w:rsidRDefault="001D763D" w:rsidP="00C5595A">
      <w:pPr>
        <w:spacing w:after="0" w:line="240" w:lineRule="auto"/>
        <w:rPr>
          <w:rFonts w:asciiTheme="majorHAnsi" w:hAnsiTheme="majorHAnsi" w:cs="Arial"/>
          <w:color w:val="767171" w:themeColor="background2" w:themeShade="80"/>
          <w:sz w:val="16"/>
        </w:rPr>
      </w:pPr>
      <w:bookmarkStart w:id="15"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2/14/20</w:t>
      </w:r>
      <w:r w:rsidRPr="008E589A">
        <w:rPr>
          <w:rFonts w:asciiTheme="majorHAnsi" w:hAnsiTheme="majorHAnsi" w:cs="Arial"/>
          <w:color w:val="767171" w:themeColor="background2" w:themeShade="80"/>
          <w:sz w:val="16"/>
        </w:rPr>
        <w:t>]</w:t>
      </w:r>
    </w:p>
    <w:p w14:paraId="1CC9CF4C" w14:textId="77777777" w:rsidR="00C5595A" w:rsidRPr="00C5595A" w:rsidRDefault="001D763D" w:rsidP="00C5595A">
      <w:pPr>
        <w:spacing w:after="0" w:line="240" w:lineRule="auto"/>
        <w:rPr>
          <w:rFonts w:asciiTheme="majorHAnsi" w:hAnsiTheme="majorHAnsi" w:cs="Calibri"/>
          <w:color w:val="767171" w:themeColor="background2" w:themeShade="80"/>
          <w:sz w:val="16"/>
          <w:szCs w:val="16"/>
        </w:rPr>
      </w:pPr>
      <w:r w:rsidRPr="00FA6B4E">
        <w:rPr>
          <w:rFonts w:asciiTheme="majorHAnsi" w:hAnsiTheme="majorHAnsi" w:cs="Calibri"/>
          <w:color w:val="767171" w:themeColor="background2" w:themeShade="80"/>
          <w:sz w:val="16"/>
          <w:szCs w:val="16"/>
        </w:rPr>
        <w:t xml:space="preserve">quotes.wsj.com/index/XX/MSCI%20GLOBAL/990300/historical-prices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2/14/20</w:t>
      </w:r>
      <w:r w:rsidRPr="008E589A">
        <w:rPr>
          <w:rFonts w:asciiTheme="majorHAnsi" w:hAnsiTheme="majorHAnsi" w:cs="Calibri"/>
          <w:color w:val="767171" w:themeColor="background2" w:themeShade="80"/>
          <w:sz w:val="16"/>
          <w:szCs w:val="16"/>
        </w:rPr>
        <w:t>]</w:t>
      </w:r>
    </w:p>
    <w:p w14:paraId="05224CC9" w14:textId="77777777" w:rsidR="00C5595A" w:rsidRPr="00C5595A" w:rsidRDefault="001D763D" w:rsidP="00C5595A">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[2/14/20]</w:t>
      </w:r>
      <w:bookmarkStart w:id="16" w:name="_Hlk7787450"/>
      <w:bookmarkEnd w:id="15"/>
    </w:p>
    <w:p w14:paraId="0FE87B03" w14:textId="77777777" w:rsidR="007916FF" w:rsidRPr="00C5595A" w:rsidRDefault="001D763D" w:rsidP="00C5595A">
      <w:pPr>
        <w:spacing w:after="0" w:line="240" w:lineRule="auto"/>
        <w:rPr>
          <w:noProof/>
          <w:color w:val="767171" w:themeColor="background2" w:themeShade="80"/>
        </w:rPr>
      </w:pPr>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2/14/20</w:t>
      </w:r>
      <w:r w:rsidRPr="008E589A">
        <w:rPr>
          <w:rFonts w:asciiTheme="majorHAnsi" w:hAnsiTheme="majorHAnsi" w:cs="Arial"/>
          <w:color w:val="767171" w:themeColor="background2" w:themeShade="80"/>
          <w:sz w:val="16"/>
        </w:rPr>
        <w:t>]</w:t>
      </w:r>
      <w:bookmarkEnd w:id="4"/>
      <w:bookmarkEnd w:id="5"/>
      <w:bookmarkEnd w:id="13"/>
      <w:bookmarkEnd w:id="14"/>
      <w:bookmarkEnd w:id="16"/>
    </w:p>
    <w:sectPr w:rsidR="007916FF" w:rsidRPr="00C5595A"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3D"/>
    <w:rsid w:val="001D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E5F2"/>
  <w15:docId w15:val="{C1A323D7-7EBD-4551-825A-A0F558E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 w:type="paragraph" w:customStyle="1" w:styleId="BasicParagraph">
    <w:name w:val="[Basic Paragraph]"/>
    <w:basedOn w:val="Normal"/>
    <w:uiPriority w:val="99"/>
    <w:rsid w:val="001D763D"/>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2020-02-18T18:46:00Z</dcterms:created>
  <dcterms:modified xsi:type="dcterms:W3CDTF">2020-02-18T18:46:00Z</dcterms:modified>
</cp:coreProperties>
</file>